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DFF17" w14:textId="77777777" w:rsidR="007E72BF" w:rsidRPr="00F7002A" w:rsidRDefault="007E72BF" w:rsidP="007E72BF">
      <w:pPr>
        <w:rPr>
          <w:rFonts w:ascii="Times New Roman" w:hAnsi="Times New Roman"/>
          <w:noProof/>
          <w:lang w:val="bg-BG"/>
        </w:rPr>
      </w:pPr>
    </w:p>
    <w:p w14:paraId="4990115D" w14:textId="77777777" w:rsidR="007E72BF" w:rsidRPr="00F7002A" w:rsidRDefault="007E72BF" w:rsidP="007E72BF">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sidR="001E3E8F">
        <w:rPr>
          <w:rFonts w:ascii="Times New Roman" w:hAnsi="Times New Roman"/>
          <w:iCs/>
        </w:rPr>
        <w:t>1</w:t>
      </w:r>
    </w:p>
    <w:p w14:paraId="36F6E7F0" w14:textId="77777777" w:rsidR="007E72BF" w:rsidRPr="00F7002A" w:rsidRDefault="007E72BF" w:rsidP="007E72BF">
      <w:pPr>
        <w:jc w:val="right"/>
        <w:rPr>
          <w:rStyle w:val="a8"/>
          <w:rFonts w:ascii="Calibri" w:hAnsi="Calibri" w:cs="Calibri"/>
          <w:i w:val="0"/>
        </w:rPr>
      </w:pPr>
      <w:r w:rsidRPr="00F7002A">
        <w:rPr>
          <w:rStyle w:val="a8"/>
          <w:rFonts w:ascii="Calibri" w:hAnsi="Calibri" w:cs="Calibri"/>
          <w:i w:val="0"/>
          <w:lang w:val="bg-BG"/>
        </w:rPr>
        <w:t xml:space="preserve">                                                                                                                       </w:t>
      </w:r>
      <w:r w:rsidRPr="00F7002A">
        <w:rPr>
          <w:rStyle w:val="a8"/>
          <w:rFonts w:ascii="Calibri" w:hAnsi="Calibri" w:cs="Calibri"/>
          <w:i w:val="0"/>
        </w:rPr>
        <w:t>[TLP-</w:t>
      </w:r>
      <w:r w:rsidR="001E3E8F">
        <w:rPr>
          <w:rStyle w:val="a8"/>
          <w:rFonts w:ascii="Calibri" w:hAnsi="Calibri" w:cs="Calibri"/>
          <w:i w:val="0"/>
        </w:rPr>
        <w:t>GREEN</w:t>
      </w:r>
      <w:r w:rsidRPr="00F7002A">
        <w:rPr>
          <w:rStyle w:val="a8"/>
          <w:rFonts w:ascii="Calibri" w:hAnsi="Calibri" w:cs="Calibri"/>
          <w:i w:val="0"/>
        </w:rPr>
        <w:t>]</w:t>
      </w:r>
    </w:p>
    <w:p w14:paraId="392CC325" w14:textId="3A6ED34E" w:rsidR="00AE6AC2" w:rsidRDefault="00804CC3" w:rsidP="008C0F82">
      <w:pPr>
        <w:rPr>
          <w:rFonts w:ascii="Times New Roman" w:eastAsia="Calibri" w:hAnsi="Times New Roman"/>
          <w:b/>
          <w:sz w:val="24"/>
          <w:szCs w:val="24"/>
          <w:lang w:val="bg-BG"/>
        </w:rPr>
      </w:pPr>
      <w:r>
        <w:rPr>
          <w:rFonts w:ascii="Times New Roman" w:hAnsi="Times New Roman"/>
          <w:noProof/>
          <w:lang w:val="bg-BG"/>
        </w:rPr>
        <w:t xml:space="preserve"> </w:t>
      </w:r>
      <w:r w:rsidR="009F6F52" w:rsidRPr="009F6F52">
        <w:rPr>
          <w:rFonts w:ascii="Times New Roman" w:eastAsia="Calibri" w:hAnsi="Times New Roman"/>
          <w:b/>
          <w:noProof/>
          <w:sz w:val="24"/>
          <w:szCs w:val="24"/>
          <w:lang w:val="bg-BG"/>
        </w:rPr>
        <w:pict w14:anchorId="50684D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165.75pt;height:80.25pt;visibility:visible;mso-wrap-style:square">
            <v:imagedata r:id="rId7" o:title=""/>
          </v:shape>
        </w:pict>
      </w:r>
    </w:p>
    <w:p w14:paraId="05473DEF" w14:textId="77777777" w:rsidR="00BC679A" w:rsidRDefault="00BC679A" w:rsidP="003A6953">
      <w:pPr>
        <w:tabs>
          <w:tab w:val="left" w:pos="426"/>
          <w:tab w:val="left" w:pos="5529"/>
          <w:tab w:val="left" w:pos="9923"/>
        </w:tabs>
        <w:jc w:val="both"/>
        <w:rPr>
          <w:rFonts w:ascii="Times New Roman" w:hAnsi="Times New Roman"/>
          <w:b/>
          <w:caps/>
          <w:sz w:val="24"/>
          <w:szCs w:val="24"/>
          <w:lang w:val="bg-BG"/>
        </w:rPr>
      </w:pPr>
    </w:p>
    <w:p w14:paraId="191FA4FC" w14:textId="77777777" w:rsidR="003A6953" w:rsidRDefault="003A6953" w:rsidP="003A6953">
      <w:pPr>
        <w:tabs>
          <w:tab w:val="left" w:pos="426"/>
          <w:tab w:val="left" w:pos="5529"/>
          <w:tab w:val="left" w:pos="9923"/>
        </w:tabs>
        <w:jc w:val="both"/>
        <w:rPr>
          <w:rFonts w:ascii="Times New Roman" w:hAnsi="Times New Roman"/>
          <w:b/>
          <w:caps/>
          <w:sz w:val="24"/>
          <w:szCs w:val="24"/>
        </w:rPr>
      </w:pPr>
      <w:r>
        <w:rPr>
          <w:rFonts w:ascii="Times New Roman" w:hAnsi="Times New Roman"/>
          <w:b/>
          <w:caps/>
          <w:sz w:val="24"/>
          <w:szCs w:val="24"/>
          <w:lang w:val="bg-BG"/>
        </w:rPr>
        <w:t>ДО</w:t>
      </w:r>
    </w:p>
    <w:p w14:paraId="6E0922FF" w14:textId="77777777" w:rsidR="003A6953" w:rsidRDefault="003A6953" w:rsidP="003A6953">
      <w:pPr>
        <w:tabs>
          <w:tab w:val="left" w:pos="426"/>
          <w:tab w:val="left" w:pos="5529"/>
          <w:tab w:val="left" w:pos="9923"/>
        </w:tabs>
        <w:jc w:val="both"/>
        <w:rPr>
          <w:rFonts w:ascii="Times New Roman" w:hAnsi="Times New Roman"/>
          <w:b/>
          <w:caps/>
          <w:sz w:val="24"/>
          <w:szCs w:val="24"/>
          <w:lang w:val="bg-BG"/>
        </w:rPr>
      </w:pPr>
      <w:r>
        <w:rPr>
          <w:rFonts w:ascii="Times New Roman" w:hAnsi="Times New Roman"/>
          <w:b/>
          <w:caps/>
          <w:sz w:val="24"/>
          <w:szCs w:val="24"/>
          <w:lang w:val="bg-BG"/>
        </w:rPr>
        <w:t>г-Н СТРАЦИМИР ПЕТКОВ</w:t>
      </w:r>
    </w:p>
    <w:p w14:paraId="6F908D77" w14:textId="77777777" w:rsidR="003A6953" w:rsidRDefault="003A6953" w:rsidP="003A6953">
      <w:pPr>
        <w:tabs>
          <w:tab w:val="left" w:pos="426"/>
          <w:tab w:val="left" w:pos="5529"/>
          <w:tab w:val="left" w:pos="9923"/>
        </w:tabs>
        <w:jc w:val="both"/>
        <w:rPr>
          <w:rFonts w:ascii="Times New Roman" w:hAnsi="Times New Roman"/>
          <w:b/>
          <w:caps/>
          <w:sz w:val="24"/>
          <w:szCs w:val="24"/>
          <w:lang w:val="bg-BG"/>
        </w:rPr>
      </w:pPr>
      <w:r>
        <w:rPr>
          <w:rFonts w:ascii="Times New Roman" w:hAnsi="Times New Roman"/>
          <w:b/>
          <w:caps/>
          <w:sz w:val="24"/>
          <w:szCs w:val="24"/>
          <w:lang w:val="bg-BG"/>
        </w:rPr>
        <w:t>кмет на община ловеч</w:t>
      </w:r>
    </w:p>
    <w:p w14:paraId="178FFFC0" w14:textId="77777777" w:rsidR="003A6953" w:rsidRDefault="003A6953" w:rsidP="003A6953">
      <w:pPr>
        <w:tabs>
          <w:tab w:val="left" w:pos="426"/>
          <w:tab w:val="left" w:pos="5529"/>
          <w:tab w:val="left" w:pos="9923"/>
        </w:tabs>
        <w:jc w:val="both"/>
        <w:rPr>
          <w:rFonts w:ascii="Times New Roman" w:hAnsi="Times New Roman"/>
          <w:b/>
          <w:caps/>
          <w:sz w:val="24"/>
          <w:szCs w:val="24"/>
          <w:lang w:val="bg-BG"/>
        </w:rPr>
      </w:pPr>
      <w:r>
        <w:rPr>
          <w:rFonts w:ascii="Times New Roman" w:hAnsi="Times New Roman"/>
          <w:b/>
          <w:caps/>
          <w:sz w:val="24"/>
          <w:szCs w:val="24"/>
          <w:lang w:val="bg-BG"/>
        </w:rPr>
        <w:t>ул. „търговска“ №22</w:t>
      </w:r>
    </w:p>
    <w:p w14:paraId="0A53236C" w14:textId="77777777" w:rsidR="003A6953" w:rsidRDefault="003A6953" w:rsidP="003A6953">
      <w:pPr>
        <w:tabs>
          <w:tab w:val="left" w:pos="426"/>
          <w:tab w:val="left" w:pos="5529"/>
          <w:tab w:val="left" w:pos="9923"/>
        </w:tabs>
        <w:jc w:val="both"/>
        <w:rPr>
          <w:rFonts w:ascii="Times New Roman" w:hAnsi="Times New Roman"/>
          <w:b/>
          <w:caps/>
          <w:color w:val="FF0000"/>
          <w:sz w:val="24"/>
          <w:szCs w:val="24"/>
          <w:lang w:val="bg-BG"/>
        </w:rPr>
      </w:pPr>
      <w:r>
        <w:rPr>
          <w:rFonts w:ascii="Times New Roman" w:hAnsi="Times New Roman"/>
          <w:b/>
          <w:caps/>
          <w:sz w:val="24"/>
          <w:szCs w:val="24"/>
          <w:lang w:val="bg-BG"/>
        </w:rPr>
        <w:t>гр. ловеч</w:t>
      </w:r>
    </w:p>
    <w:p w14:paraId="3282A254" w14:textId="77777777" w:rsidR="003A6953" w:rsidRDefault="003A6953" w:rsidP="003A6953">
      <w:pPr>
        <w:spacing w:before="120"/>
        <w:ind w:right="425"/>
        <w:jc w:val="both"/>
        <w:rPr>
          <w:rFonts w:ascii="Times New Roman" w:hAnsi="Times New Roman"/>
          <w:i/>
          <w:sz w:val="24"/>
          <w:szCs w:val="24"/>
          <w:u w:val="single"/>
          <w:lang w:val="bg-BG"/>
        </w:rPr>
      </w:pPr>
    </w:p>
    <w:p w14:paraId="589A3DEA" w14:textId="77777777" w:rsidR="003A6953" w:rsidRDefault="003A6953" w:rsidP="003A6953">
      <w:pPr>
        <w:spacing w:before="120"/>
        <w:ind w:right="425"/>
        <w:jc w:val="both"/>
        <w:rPr>
          <w:rFonts w:ascii="Times New Roman" w:hAnsi="Times New Roman"/>
          <w:i/>
          <w:sz w:val="24"/>
          <w:szCs w:val="24"/>
          <w:lang w:val="bg-BG"/>
        </w:rPr>
      </w:pPr>
      <w:r>
        <w:rPr>
          <w:rFonts w:ascii="Times New Roman" w:hAnsi="Times New Roman"/>
          <w:b/>
          <w:i/>
          <w:sz w:val="24"/>
          <w:szCs w:val="24"/>
          <w:u w:val="single"/>
          <w:lang w:val="bg-BG"/>
        </w:rPr>
        <w:t>Относно</w:t>
      </w:r>
      <w:r>
        <w:rPr>
          <w:rFonts w:ascii="Times New Roman" w:hAnsi="Times New Roman"/>
          <w:bCs/>
          <w:i/>
          <w:sz w:val="24"/>
          <w:szCs w:val="24"/>
          <w:lang w:val="bg-BG"/>
        </w:rPr>
        <w:t>:</w:t>
      </w:r>
      <w:r>
        <w:rPr>
          <w:rFonts w:ascii="Times New Roman" w:hAnsi="Times New Roman"/>
          <w:bCs/>
          <w:i/>
          <w:sz w:val="24"/>
          <w:szCs w:val="24"/>
        </w:rPr>
        <w:t xml:space="preserve"> </w:t>
      </w:r>
      <w:r>
        <w:rPr>
          <w:rFonts w:ascii="Times New Roman" w:hAnsi="Times New Roman"/>
          <w:i/>
          <w:sz w:val="24"/>
          <w:szCs w:val="24"/>
          <w:lang w:val="bg-BG"/>
        </w:rPr>
        <w:t>Инвестиционно предложение</w:t>
      </w:r>
      <w:r>
        <w:rPr>
          <w:rFonts w:ascii="Times New Roman" w:hAnsi="Times New Roman"/>
          <w:bCs/>
          <w:i/>
          <w:sz w:val="24"/>
          <w:szCs w:val="24"/>
          <w:lang w:val="bg-BG"/>
        </w:rPr>
        <w:t xml:space="preserve"> “Монтаж и експлоатация на мобилна инсталация за предварително третиране (сепариране) на площадка, част от Регионално депо за неопасни отпадъци за общините Ловеч, Летница и Угърчин“, ПИ №58308.70.146, местност „Аибунар“, землище на с. Пресяка, община Ловеч</w:t>
      </w:r>
      <w:r>
        <w:rPr>
          <w:rFonts w:ascii="Times New Roman" w:hAnsi="Times New Roman"/>
          <w:i/>
          <w:sz w:val="24"/>
          <w:szCs w:val="24"/>
          <w:lang w:val="bg-BG"/>
        </w:rPr>
        <w:t>.</w:t>
      </w:r>
    </w:p>
    <w:p w14:paraId="30462C33" w14:textId="77777777" w:rsidR="003A6953" w:rsidRDefault="003A6953" w:rsidP="003A6953">
      <w:pPr>
        <w:tabs>
          <w:tab w:val="left" w:pos="720"/>
          <w:tab w:val="left" w:pos="9781"/>
          <w:tab w:val="left" w:pos="10177"/>
        </w:tabs>
        <w:ind w:right="425"/>
        <w:jc w:val="both"/>
        <w:rPr>
          <w:rFonts w:ascii="Times New Roman" w:hAnsi="Times New Roman"/>
          <w:sz w:val="24"/>
          <w:szCs w:val="24"/>
          <w:lang w:val="bg-BG"/>
        </w:rPr>
      </w:pPr>
    </w:p>
    <w:p w14:paraId="0F1A737A" w14:textId="77777777" w:rsidR="003A6953" w:rsidRDefault="003A6953" w:rsidP="003A6953">
      <w:pPr>
        <w:tabs>
          <w:tab w:val="left" w:pos="720"/>
          <w:tab w:val="left" w:pos="9923"/>
        </w:tabs>
        <w:ind w:right="425"/>
        <w:jc w:val="both"/>
        <w:rPr>
          <w:rFonts w:ascii="Times New Roman" w:hAnsi="Times New Roman"/>
          <w:b/>
          <w:sz w:val="24"/>
          <w:szCs w:val="24"/>
          <w:lang w:val="bg-BG"/>
        </w:rPr>
      </w:pPr>
    </w:p>
    <w:p w14:paraId="04CCC5B9" w14:textId="77777777" w:rsidR="003A6953" w:rsidRDefault="003A6953" w:rsidP="003A6953">
      <w:pPr>
        <w:tabs>
          <w:tab w:val="left" w:pos="720"/>
          <w:tab w:val="left" w:pos="9923"/>
        </w:tabs>
        <w:ind w:right="425"/>
        <w:jc w:val="both"/>
        <w:rPr>
          <w:rFonts w:ascii="Times New Roman" w:hAnsi="Times New Roman"/>
          <w:b/>
          <w:sz w:val="24"/>
          <w:szCs w:val="24"/>
          <w:lang w:val="bg-BG"/>
        </w:rPr>
      </w:pPr>
      <w:r>
        <w:rPr>
          <w:rFonts w:ascii="Times New Roman" w:hAnsi="Times New Roman"/>
          <w:b/>
          <w:sz w:val="24"/>
          <w:szCs w:val="24"/>
          <w:lang w:val="bg-BG"/>
        </w:rPr>
        <w:t>УВАЖАЕМИ Г-Н ПЕТКОВ,</w:t>
      </w:r>
    </w:p>
    <w:p w14:paraId="3EC9F8BD" w14:textId="77777777" w:rsidR="003A6953" w:rsidRDefault="003A6953" w:rsidP="003A6953">
      <w:pPr>
        <w:tabs>
          <w:tab w:val="left" w:pos="720"/>
          <w:tab w:val="left" w:pos="9923"/>
        </w:tabs>
        <w:ind w:right="425"/>
        <w:jc w:val="both"/>
        <w:rPr>
          <w:rFonts w:ascii="Times New Roman" w:hAnsi="Times New Roman"/>
          <w:sz w:val="24"/>
          <w:szCs w:val="24"/>
          <w:lang w:val="bg-BG"/>
        </w:rPr>
      </w:pPr>
    </w:p>
    <w:p w14:paraId="65583CC8" w14:textId="77777777" w:rsidR="003A6953" w:rsidRDefault="003A6953" w:rsidP="003A6953">
      <w:pPr>
        <w:pStyle w:val="title1"/>
        <w:spacing w:after="0" w:afterAutospacing="0"/>
        <w:ind w:right="425" w:firstLine="720"/>
        <w:jc w:val="both"/>
        <w:rPr>
          <w:b w:val="0"/>
          <w:bCs w:val="0"/>
          <w:sz w:val="24"/>
          <w:szCs w:val="24"/>
        </w:rPr>
      </w:pPr>
      <w:r>
        <w:rPr>
          <w:b w:val="0"/>
          <w:bCs w:val="0"/>
          <w:sz w:val="24"/>
          <w:szCs w:val="24"/>
        </w:rPr>
        <w:t xml:space="preserve">Уведомяваме Ви, че приемаме представената от Вас документация като информиране на компетентния орган по околна среда по чл. 95, ал. 1 от Закона за опазване на околната среда (ДВ бр.61/06.08.2010) и чл. 4, ал. 1 от Наредбата за условията и реда за извършване на оценка на въздействие върху околната среда. (Наредба за ОВОС, ДВ бр.3/11.01.2011 г.) и като уведомление по чл. 10, ал. 1 от 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ОС, ДВ бр.81/15.10.2010 г.) </w:t>
      </w:r>
    </w:p>
    <w:p w14:paraId="0520A17F" w14:textId="77777777" w:rsidR="003A6953" w:rsidRDefault="003A6953" w:rsidP="003A6953">
      <w:pPr>
        <w:pStyle w:val="title1"/>
        <w:spacing w:after="0" w:afterAutospacing="0"/>
        <w:ind w:right="425" w:firstLine="720"/>
        <w:jc w:val="both"/>
        <w:rPr>
          <w:b w:val="0"/>
          <w:bCs w:val="0"/>
          <w:sz w:val="24"/>
          <w:szCs w:val="24"/>
        </w:rPr>
      </w:pPr>
      <w:r>
        <w:rPr>
          <w:b w:val="0"/>
          <w:bCs w:val="0"/>
          <w:sz w:val="24"/>
          <w:szCs w:val="24"/>
        </w:rPr>
        <w:t xml:space="preserve"> На основание чл. 5 от Наредбата за ОВОС и във връзка с чл. 40, ал. 2 от Наредбата за ОС, въз основа на представената информация Ви уведомяваме, че:</w:t>
      </w:r>
    </w:p>
    <w:p w14:paraId="4FE03AA3" w14:textId="77777777" w:rsidR="003A6953" w:rsidRDefault="003A6953" w:rsidP="003A6953">
      <w:pPr>
        <w:pStyle w:val="title1"/>
        <w:spacing w:after="0" w:afterAutospacing="0"/>
        <w:ind w:right="425"/>
        <w:jc w:val="both"/>
        <w:rPr>
          <w:b w:val="0"/>
          <w:bCs w:val="0"/>
          <w:color w:val="FF0000"/>
          <w:sz w:val="24"/>
          <w:szCs w:val="24"/>
        </w:rPr>
      </w:pPr>
    </w:p>
    <w:p w14:paraId="68364D37" w14:textId="77777777" w:rsidR="00686CE3" w:rsidRDefault="003A6953" w:rsidP="00686CE3">
      <w:pPr>
        <w:pStyle w:val="title1"/>
        <w:tabs>
          <w:tab w:val="left" w:pos="8931"/>
        </w:tabs>
        <w:spacing w:after="0" w:afterAutospacing="0"/>
        <w:ind w:right="425" w:firstLine="709"/>
        <w:jc w:val="both"/>
        <w:rPr>
          <w:bCs w:val="0"/>
          <w:sz w:val="24"/>
          <w:szCs w:val="24"/>
        </w:rPr>
      </w:pPr>
      <w:smartTag w:uri="urn:schemas-microsoft-com:office:smarttags" w:element="place">
        <w:r>
          <w:rPr>
            <w:bCs w:val="0"/>
            <w:sz w:val="24"/>
            <w:szCs w:val="24"/>
            <w:lang w:val="en-US"/>
          </w:rPr>
          <w:t>I</w:t>
        </w:r>
        <w:r>
          <w:rPr>
            <w:bCs w:val="0"/>
            <w:sz w:val="24"/>
            <w:szCs w:val="24"/>
            <w:lang w:val="ru-RU"/>
          </w:rPr>
          <w:t>.</w:t>
        </w:r>
      </w:smartTag>
      <w:r>
        <w:rPr>
          <w:bCs w:val="0"/>
          <w:sz w:val="24"/>
          <w:szCs w:val="24"/>
          <w:lang w:val="ru-RU"/>
        </w:rPr>
        <w:t xml:space="preserve"> </w:t>
      </w:r>
      <w:r>
        <w:rPr>
          <w:bCs w:val="0"/>
          <w:sz w:val="24"/>
          <w:szCs w:val="24"/>
        </w:rPr>
        <w:t>По отношение на изискванията за оценка на въздействието върху околната среда (ОВОС) на инвестиционни предложения по глава шеста, раздел</w:t>
      </w:r>
      <w:r>
        <w:rPr>
          <w:bCs w:val="0"/>
          <w:sz w:val="24"/>
          <w:szCs w:val="24"/>
          <w:lang w:val="ru-RU"/>
        </w:rPr>
        <w:t xml:space="preserve"> </w:t>
      </w:r>
      <w:r>
        <w:rPr>
          <w:bCs w:val="0"/>
          <w:sz w:val="24"/>
          <w:szCs w:val="24"/>
          <w:lang w:val="en-US"/>
        </w:rPr>
        <w:t>III</w:t>
      </w:r>
      <w:r>
        <w:rPr>
          <w:bCs w:val="0"/>
          <w:sz w:val="24"/>
          <w:szCs w:val="24"/>
        </w:rPr>
        <w:t xml:space="preserve"> от ЗООС:</w:t>
      </w:r>
    </w:p>
    <w:p w14:paraId="063D1432" w14:textId="77777777" w:rsidR="00686CE3" w:rsidRPr="00686CE3" w:rsidRDefault="00686CE3" w:rsidP="008F3033">
      <w:pPr>
        <w:pStyle w:val="af2"/>
        <w:tabs>
          <w:tab w:val="left" w:pos="8931"/>
        </w:tabs>
        <w:spacing w:after="0" w:line="240" w:lineRule="auto"/>
        <w:ind w:left="0" w:right="424"/>
        <w:jc w:val="both"/>
        <w:rPr>
          <w:rFonts w:ascii="Times New Roman" w:hAnsi="Times New Roman"/>
          <w:sz w:val="24"/>
          <w:szCs w:val="24"/>
        </w:rPr>
      </w:pPr>
      <w:r w:rsidRPr="008F3033">
        <w:rPr>
          <w:rFonts w:ascii="Times New Roman" w:hAnsi="Times New Roman"/>
          <w:bCs/>
          <w:sz w:val="24"/>
          <w:szCs w:val="24"/>
        </w:rPr>
        <w:t>Предмет на направеното ИП</w:t>
      </w:r>
      <w:r>
        <w:rPr>
          <w:b/>
          <w:bCs/>
          <w:sz w:val="24"/>
          <w:szCs w:val="24"/>
        </w:rPr>
        <w:t xml:space="preserve"> </w:t>
      </w:r>
      <w:r w:rsidR="008F3033">
        <w:rPr>
          <w:rFonts w:ascii="Times New Roman" w:hAnsi="Times New Roman"/>
          <w:sz w:val="24"/>
          <w:szCs w:val="24"/>
        </w:rPr>
        <w:t xml:space="preserve">е </w:t>
      </w:r>
      <w:r w:rsidRPr="00686CE3">
        <w:rPr>
          <w:rFonts w:ascii="Times New Roman" w:hAnsi="Times New Roman"/>
          <w:sz w:val="24"/>
          <w:szCs w:val="24"/>
        </w:rPr>
        <w:t>монтиране на преместваеми модулни съоръжения за предварително третиране (сепариране) на смесени битови отпадъци до получаване на оползотворими и неоползотворима фракция. За извършване на дейността по предварително третиране (сепариране) на смесени битови отпадъци, ще се използва инсталация, състояща се от следните модули:</w:t>
      </w:r>
    </w:p>
    <w:p w14:paraId="703C7423" w14:textId="77777777" w:rsidR="00686CE3" w:rsidRPr="00686CE3" w:rsidRDefault="008F3033" w:rsidP="008F3033">
      <w:pPr>
        <w:tabs>
          <w:tab w:val="left" w:pos="8931"/>
        </w:tabs>
        <w:overflowPunct/>
        <w:autoSpaceDE/>
        <w:autoSpaceDN/>
        <w:adjustRightInd/>
        <w:spacing w:after="200"/>
        <w:contextualSpacing/>
        <w:jc w:val="both"/>
        <w:textAlignment w:val="auto"/>
        <w:rPr>
          <w:rFonts w:ascii="Times New Roman" w:eastAsia="Calibri" w:hAnsi="Times New Roman"/>
          <w:sz w:val="24"/>
          <w:szCs w:val="24"/>
          <w:lang w:val="bg-BG"/>
        </w:rPr>
      </w:pPr>
      <w:r>
        <w:rPr>
          <w:rFonts w:ascii="Times New Roman" w:eastAsia="Calibri" w:hAnsi="Times New Roman"/>
          <w:sz w:val="24"/>
          <w:szCs w:val="24"/>
          <w:lang w:val="bg-BG"/>
        </w:rPr>
        <w:t>-</w:t>
      </w:r>
      <w:r w:rsidR="00686CE3" w:rsidRPr="00686CE3">
        <w:rPr>
          <w:rFonts w:ascii="Times New Roman" w:eastAsia="Calibri" w:hAnsi="Times New Roman"/>
          <w:sz w:val="24"/>
          <w:szCs w:val="24"/>
          <w:lang w:val="bg-BG"/>
        </w:rPr>
        <w:t>Модул 1 – приемателен бункер и хомогенизираща зона;</w:t>
      </w:r>
    </w:p>
    <w:p w14:paraId="5A4068D6" w14:textId="77777777" w:rsidR="00686CE3" w:rsidRPr="00686CE3" w:rsidRDefault="008F3033" w:rsidP="008F3033">
      <w:pPr>
        <w:overflowPunct/>
        <w:autoSpaceDE/>
        <w:autoSpaceDN/>
        <w:adjustRightInd/>
        <w:spacing w:after="200"/>
        <w:contextualSpacing/>
        <w:jc w:val="both"/>
        <w:textAlignment w:val="auto"/>
        <w:rPr>
          <w:rFonts w:ascii="Times New Roman" w:eastAsia="Calibri" w:hAnsi="Times New Roman"/>
          <w:sz w:val="24"/>
          <w:szCs w:val="24"/>
          <w:lang w:val="bg-BG"/>
        </w:rPr>
      </w:pPr>
      <w:r>
        <w:rPr>
          <w:rFonts w:ascii="Times New Roman" w:eastAsia="Calibri" w:hAnsi="Times New Roman"/>
          <w:sz w:val="24"/>
          <w:szCs w:val="24"/>
          <w:lang w:val="bg-BG"/>
        </w:rPr>
        <w:t>-</w:t>
      </w:r>
      <w:r w:rsidR="00686CE3" w:rsidRPr="00686CE3">
        <w:rPr>
          <w:rFonts w:ascii="Times New Roman" w:eastAsia="Calibri" w:hAnsi="Times New Roman"/>
          <w:sz w:val="24"/>
          <w:szCs w:val="24"/>
          <w:lang w:val="bg-BG"/>
        </w:rPr>
        <w:t>Модул 2 – височинен редлер и пресяващо сито;</w:t>
      </w:r>
    </w:p>
    <w:p w14:paraId="7402B8F9" w14:textId="77777777" w:rsidR="00686CE3" w:rsidRPr="00686CE3" w:rsidRDefault="008F3033" w:rsidP="008F3033">
      <w:pPr>
        <w:overflowPunct/>
        <w:autoSpaceDE/>
        <w:autoSpaceDN/>
        <w:adjustRightInd/>
        <w:spacing w:after="200"/>
        <w:contextualSpacing/>
        <w:jc w:val="both"/>
        <w:textAlignment w:val="auto"/>
        <w:rPr>
          <w:rFonts w:ascii="Times New Roman" w:eastAsia="Calibri" w:hAnsi="Times New Roman"/>
          <w:sz w:val="24"/>
          <w:szCs w:val="24"/>
          <w:lang w:val="bg-BG"/>
        </w:rPr>
      </w:pPr>
      <w:r>
        <w:rPr>
          <w:rFonts w:ascii="Times New Roman" w:eastAsia="Calibri" w:hAnsi="Times New Roman"/>
          <w:sz w:val="24"/>
          <w:szCs w:val="24"/>
          <w:lang w:val="bg-BG"/>
        </w:rPr>
        <w:t>-</w:t>
      </w:r>
      <w:r w:rsidR="00686CE3" w:rsidRPr="00686CE3">
        <w:rPr>
          <w:rFonts w:ascii="Times New Roman" w:eastAsia="Calibri" w:hAnsi="Times New Roman"/>
          <w:sz w:val="24"/>
          <w:szCs w:val="24"/>
          <w:lang w:val="bg-BG"/>
        </w:rPr>
        <w:t>Модул 3 – център за сепариране;</w:t>
      </w:r>
    </w:p>
    <w:p w14:paraId="277F237E" w14:textId="77777777" w:rsidR="00686CE3" w:rsidRPr="00686CE3" w:rsidRDefault="008F3033" w:rsidP="008F3033">
      <w:pPr>
        <w:overflowPunct/>
        <w:autoSpaceDE/>
        <w:autoSpaceDN/>
        <w:adjustRightInd/>
        <w:spacing w:after="200"/>
        <w:contextualSpacing/>
        <w:jc w:val="both"/>
        <w:textAlignment w:val="auto"/>
        <w:rPr>
          <w:rFonts w:ascii="Times New Roman" w:eastAsia="Calibri" w:hAnsi="Times New Roman"/>
          <w:sz w:val="24"/>
          <w:szCs w:val="24"/>
          <w:lang w:val="bg-BG"/>
        </w:rPr>
      </w:pPr>
      <w:r>
        <w:rPr>
          <w:rFonts w:ascii="Times New Roman" w:eastAsia="Calibri" w:hAnsi="Times New Roman"/>
          <w:sz w:val="24"/>
          <w:szCs w:val="24"/>
          <w:lang w:val="bg-BG"/>
        </w:rPr>
        <w:t>-</w:t>
      </w:r>
      <w:r w:rsidR="00686CE3" w:rsidRPr="00686CE3">
        <w:rPr>
          <w:rFonts w:ascii="Times New Roman" w:eastAsia="Calibri" w:hAnsi="Times New Roman"/>
          <w:sz w:val="24"/>
          <w:szCs w:val="24"/>
          <w:lang w:val="bg-BG"/>
        </w:rPr>
        <w:t>Модул 4 – участък за разделно съхраняване на отделените оползотворяеми фракции.</w:t>
      </w:r>
    </w:p>
    <w:p w14:paraId="53815624" w14:textId="77777777" w:rsidR="00686CE3" w:rsidRPr="00686CE3" w:rsidRDefault="00686CE3" w:rsidP="00D7487E">
      <w:pPr>
        <w:overflowPunct/>
        <w:autoSpaceDE/>
        <w:autoSpaceDN/>
        <w:adjustRightInd/>
        <w:ind w:right="424"/>
        <w:jc w:val="both"/>
        <w:textAlignment w:val="auto"/>
        <w:rPr>
          <w:rFonts w:ascii="Times New Roman" w:eastAsia="Calibri" w:hAnsi="Times New Roman"/>
          <w:sz w:val="24"/>
          <w:szCs w:val="24"/>
          <w:lang w:val="bg-BG"/>
        </w:rPr>
      </w:pPr>
      <w:r w:rsidRPr="00686CE3">
        <w:rPr>
          <w:rFonts w:ascii="Times New Roman" w:eastAsia="Calibri" w:hAnsi="Times New Roman"/>
          <w:sz w:val="24"/>
          <w:szCs w:val="24"/>
          <w:lang w:val="bg-BG"/>
        </w:rPr>
        <w:lastRenderedPageBreak/>
        <w:t>Прогнозен</w:t>
      </w:r>
      <w:r w:rsidR="00D7487E">
        <w:rPr>
          <w:rFonts w:ascii="Times New Roman" w:eastAsia="Calibri" w:hAnsi="Times New Roman"/>
          <w:sz w:val="24"/>
          <w:szCs w:val="24"/>
          <w:lang w:val="bg-BG"/>
        </w:rPr>
        <w:t>ият</w:t>
      </w:r>
      <w:r w:rsidRPr="00686CE3">
        <w:rPr>
          <w:rFonts w:ascii="Times New Roman" w:eastAsia="Calibri" w:hAnsi="Times New Roman"/>
          <w:sz w:val="24"/>
          <w:szCs w:val="24"/>
          <w:lang w:val="bg-BG"/>
        </w:rPr>
        <w:t xml:space="preserve"> капацитет на инсталация</w:t>
      </w:r>
      <w:r w:rsidR="00D7487E">
        <w:rPr>
          <w:rFonts w:ascii="Times New Roman" w:eastAsia="Calibri" w:hAnsi="Times New Roman"/>
          <w:sz w:val="24"/>
          <w:szCs w:val="24"/>
          <w:lang w:val="bg-BG"/>
        </w:rPr>
        <w:t>та</w:t>
      </w:r>
      <w:r w:rsidRPr="00686CE3">
        <w:rPr>
          <w:rFonts w:ascii="Times New Roman" w:eastAsia="Calibri" w:hAnsi="Times New Roman"/>
          <w:sz w:val="24"/>
          <w:szCs w:val="24"/>
          <w:lang w:val="bg-BG"/>
        </w:rPr>
        <w:t xml:space="preserve"> за предварително третиране (сепариране) на смесени битови отпадъци е от около 40 тона на ден при осем часов работен ден</w:t>
      </w:r>
      <w:r w:rsidR="00D7487E">
        <w:rPr>
          <w:rFonts w:ascii="Times New Roman" w:eastAsia="Calibri" w:hAnsi="Times New Roman"/>
          <w:sz w:val="24"/>
          <w:szCs w:val="24"/>
          <w:lang w:val="bg-BG"/>
        </w:rPr>
        <w:t>, като</w:t>
      </w:r>
      <w:r w:rsidRPr="00686CE3">
        <w:rPr>
          <w:rFonts w:ascii="Times New Roman" w:eastAsia="Calibri" w:hAnsi="Times New Roman"/>
          <w:sz w:val="24"/>
          <w:szCs w:val="24"/>
          <w:lang w:val="bg-BG"/>
        </w:rPr>
        <w:t xml:space="preserve"> при 250 работни дни, ще бъдат предварително третирани 10</w:t>
      </w:r>
      <w:r w:rsidR="00D7487E">
        <w:rPr>
          <w:rFonts w:ascii="Times New Roman" w:eastAsia="Calibri" w:hAnsi="Times New Roman"/>
          <w:sz w:val="24"/>
          <w:szCs w:val="24"/>
          <w:lang w:val="bg-BG"/>
        </w:rPr>
        <w:t xml:space="preserve"> 000 </w:t>
      </w:r>
      <w:r w:rsidRPr="00686CE3">
        <w:rPr>
          <w:rFonts w:ascii="Times New Roman" w:eastAsia="Calibri" w:hAnsi="Times New Roman"/>
          <w:sz w:val="24"/>
          <w:szCs w:val="24"/>
          <w:lang w:val="bg-BG"/>
        </w:rPr>
        <w:t>т</w:t>
      </w:r>
      <w:r w:rsidR="00D7487E">
        <w:rPr>
          <w:rFonts w:ascii="Times New Roman" w:eastAsia="Calibri" w:hAnsi="Times New Roman"/>
          <w:sz w:val="24"/>
          <w:szCs w:val="24"/>
          <w:lang w:val="bg-BG"/>
        </w:rPr>
        <w:t>она</w:t>
      </w:r>
      <w:r w:rsidRPr="00686CE3">
        <w:rPr>
          <w:rFonts w:ascii="Times New Roman" w:eastAsia="Calibri" w:hAnsi="Times New Roman"/>
          <w:sz w:val="24"/>
          <w:szCs w:val="24"/>
          <w:lang w:val="bg-BG"/>
        </w:rPr>
        <w:t xml:space="preserve"> смесени битови отпадъци. След предварителното третиране на смесени битови отпадъци се очаква намаляване на отпадъците с между 30 – 50%, очакванията са да се добият около 3000 т</w:t>
      </w:r>
      <w:r w:rsidR="00D7487E">
        <w:rPr>
          <w:rFonts w:ascii="Times New Roman" w:eastAsia="Calibri" w:hAnsi="Times New Roman"/>
          <w:sz w:val="24"/>
          <w:szCs w:val="24"/>
          <w:lang w:val="bg-BG"/>
        </w:rPr>
        <w:t>она</w:t>
      </w:r>
      <w:r w:rsidRPr="00686CE3">
        <w:rPr>
          <w:rFonts w:ascii="Times New Roman" w:eastAsia="Calibri" w:hAnsi="Times New Roman"/>
          <w:sz w:val="24"/>
          <w:szCs w:val="24"/>
          <w:lang w:val="bg-BG"/>
        </w:rPr>
        <w:t xml:space="preserve"> оползотворими материали.</w:t>
      </w:r>
    </w:p>
    <w:p w14:paraId="23D273DA" w14:textId="77777777" w:rsidR="00686CE3" w:rsidRPr="00686CE3" w:rsidRDefault="00686CE3" w:rsidP="00D7487E">
      <w:pPr>
        <w:pStyle w:val="title1"/>
        <w:spacing w:after="0" w:afterAutospacing="0"/>
        <w:ind w:right="425"/>
        <w:jc w:val="both"/>
        <w:rPr>
          <w:b w:val="0"/>
          <w:bCs w:val="0"/>
          <w:sz w:val="24"/>
          <w:szCs w:val="24"/>
        </w:rPr>
      </w:pPr>
    </w:p>
    <w:p w14:paraId="5BB344B1" w14:textId="77777777" w:rsidR="003A6953" w:rsidRDefault="003A6953" w:rsidP="003A6953">
      <w:pPr>
        <w:pStyle w:val="title1"/>
        <w:spacing w:after="0" w:afterAutospacing="0"/>
        <w:ind w:right="425"/>
        <w:jc w:val="both"/>
        <w:rPr>
          <w:b w:val="0"/>
          <w:bCs w:val="0"/>
          <w:sz w:val="24"/>
          <w:szCs w:val="24"/>
        </w:rPr>
      </w:pPr>
      <w:r>
        <w:rPr>
          <w:b w:val="0"/>
          <w:bCs w:val="0"/>
          <w:sz w:val="24"/>
          <w:szCs w:val="24"/>
        </w:rPr>
        <w:t xml:space="preserve">Община Ловеч има издадено Комплексно разрешително с регистрационен номер №282-Н1/2016г., включващо инсталация, която попада в обхвата на т.5.4 от Приложение №4 на ЗООС обхващащо Клетка 1 с капацитет 40т/24ч., Клетка 2 с капацитет 40т/24ч. и Клетка 3 с капацитет 70т/24ч. </w:t>
      </w:r>
    </w:p>
    <w:p w14:paraId="075F139E" w14:textId="77777777" w:rsidR="00686CE3" w:rsidRDefault="00686CE3" w:rsidP="003A6953">
      <w:pPr>
        <w:pStyle w:val="title1"/>
        <w:tabs>
          <w:tab w:val="left" w:pos="0"/>
          <w:tab w:val="left" w:pos="709"/>
        </w:tabs>
        <w:spacing w:after="0" w:afterAutospacing="0"/>
        <w:ind w:right="425"/>
        <w:jc w:val="both"/>
        <w:rPr>
          <w:iCs/>
          <w:sz w:val="24"/>
          <w:szCs w:val="24"/>
        </w:rPr>
      </w:pPr>
    </w:p>
    <w:p w14:paraId="65805BA7" w14:textId="77777777" w:rsidR="003A6953" w:rsidRDefault="003A6953" w:rsidP="003A6953">
      <w:pPr>
        <w:pStyle w:val="title1"/>
        <w:tabs>
          <w:tab w:val="left" w:pos="0"/>
          <w:tab w:val="left" w:pos="709"/>
        </w:tabs>
        <w:spacing w:after="0" w:afterAutospacing="0"/>
        <w:ind w:right="425"/>
        <w:jc w:val="both"/>
        <w:rPr>
          <w:b w:val="0"/>
          <w:iCs/>
          <w:sz w:val="24"/>
          <w:szCs w:val="24"/>
        </w:rPr>
      </w:pPr>
      <w:r>
        <w:rPr>
          <w:iCs/>
          <w:sz w:val="24"/>
          <w:szCs w:val="24"/>
        </w:rPr>
        <w:t xml:space="preserve">Описаното </w:t>
      </w:r>
      <w:r>
        <w:rPr>
          <w:b w:val="0"/>
          <w:iCs/>
          <w:sz w:val="24"/>
          <w:szCs w:val="24"/>
        </w:rPr>
        <w:t>ИП попада в обхвата на чл. 93, ал. 1, т. 2 от ЗООС и представлява</w:t>
      </w:r>
      <w:r>
        <w:rPr>
          <w:iCs/>
          <w:sz w:val="24"/>
          <w:szCs w:val="24"/>
        </w:rPr>
        <w:t xml:space="preserve"> </w:t>
      </w:r>
      <w:r>
        <w:rPr>
          <w:b w:val="0"/>
          <w:iCs/>
          <w:sz w:val="24"/>
          <w:szCs w:val="24"/>
        </w:rPr>
        <w:t xml:space="preserve">разширение на инвестиционно предложение, самостоятелно попадащо в </w:t>
      </w:r>
      <w:r>
        <w:rPr>
          <w:sz w:val="24"/>
          <w:szCs w:val="24"/>
        </w:rPr>
        <w:t>т. 11 буква “б” – инсталации и депа за обезвреждане и/или оползотворяване на отпадъци (невключени в приложение №1)</w:t>
      </w:r>
      <w:r>
        <w:rPr>
          <w:b w:val="0"/>
          <w:iCs/>
          <w:sz w:val="24"/>
          <w:szCs w:val="24"/>
        </w:rPr>
        <w:t>, от Приложение</w:t>
      </w:r>
      <w:r>
        <w:rPr>
          <w:iCs/>
          <w:sz w:val="24"/>
          <w:szCs w:val="24"/>
        </w:rPr>
        <w:t xml:space="preserve"> </w:t>
      </w:r>
      <w:r>
        <w:rPr>
          <w:b w:val="0"/>
          <w:iCs/>
          <w:sz w:val="24"/>
          <w:szCs w:val="24"/>
        </w:rPr>
        <w:t xml:space="preserve">№ 2 към чл. 92, т. 1 на Закона за опазване на околната среда (ЗООС). </w:t>
      </w:r>
    </w:p>
    <w:p w14:paraId="08490BE9" w14:textId="77777777" w:rsidR="003A6953" w:rsidRDefault="003A6953" w:rsidP="003A6953">
      <w:pPr>
        <w:pStyle w:val="title1"/>
        <w:tabs>
          <w:tab w:val="left" w:pos="0"/>
          <w:tab w:val="left" w:pos="709"/>
        </w:tabs>
        <w:spacing w:after="0" w:afterAutospacing="0"/>
        <w:ind w:right="425"/>
        <w:jc w:val="both"/>
        <w:rPr>
          <w:sz w:val="24"/>
          <w:szCs w:val="24"/>
        </w:rPr>
      </w:pPr>
      <w:r>
        <w:rPr>
          <w:sz w:val="24"/>
          <w:szCs w:val="24"/>
        </w:rPr>
        <w:t>Компетентен орган по процедурата е РИОСВ – гр. Плевен.</w:t>
      </w:r>
    </w:p>
    <w:p w14:paraId="755A8EE2" w14:textId="77777777" w:rsidR="003A6953" w:rsidRDefault="003A6953" w:rsidP="003A6953">
      <w:pPr>
        <w:tabs>
          <w:tab w:val="left" w:pos="709"/>
          <w:tab w:val="left" w:pos="9498"/>
        </w:tabs>
        <w:ind w:right="425"/>
        <w:jc w:val="both"/>
        <w:rPr>
          <w:rFonts w:ascii="Times New Roman" w:hAnsi="Times New Roman"/>
          <w:color w:val="FF0000"/>
          <w:sz w:val="24"/>
          <w:szCs w:val="24"/>
          <w:lang w:val="bg-BG" w:eastAsia="bg-BG"/>
        </w:rPr>
      </w:pPr>
    </w:p>
    <w:p w14:paraId="2E285882" w14:textId="77777777" w:rsidR="003A6953" w:rsidRDefault="003A6953" w:rsidP="003A6953">
      <w:pPr>
        <w:ind w:right="425" w:firstLine="720"/>
        <w:jc w:val="both"/>
        <w:rPr>
          <w:rFonts w:ascii="Times New Roman" w:hAnsi="Times New Roman"/>
          <w:b/>
          <w:bCs/>
          <w:sz w:val="24"/>
          <w:szCs w:val="24"/>
          <w:lang w:val="ru-RU"/>
        </w:rPr>
      </w:pPr>
      <w:r>
        <w:rPr>
          <w:rFonts w:ascii="Times New Roman" w:hAnsi="Times New Roman"/>
          <w:b/>
          <w:bCs/>
          <w:sz w:val="24"/>
          <w:szCs w:val="24"/>
        </w:rPr>
        <w:t>II</w:t>
      </w:r>
      <w:r>
        <w:rPr>
          <w:rFonts w:ascii="Times New Roman" w:hAnsi="Times New Roman"/>
          <w:b/>
          <w:bCs/>
          <w:sz w:val="24"/>
          <w:szCs w:val="24"/>
          <w:lang w:val="ru-RU"/>
        </w:rPr>
        <w:t xml:space="preserve">. По отношение на изискванията за екологична оценка (ЕО) по глава шеста, раздел </w:t>
      </w:r>
      <w:r>
        <w:rPr>
          <w:rFonts w:ascii="Times New Roman" w:hAnsi="Times New Roman"/>
          <w:b/>
          <w:bCs/>
          <w:sz w:val="24"/>
          <w:szCs w:val="24"/>
        </w:rPr>
        <w:t>II</w:t>
      </w:r>
      <w:r>
        <w:rPr>
          <w:rFonts w:ascii="Times New Roman" w:hAnsi="Times New Roman"/>
          <w:b/>
          <w:bCs/>
          <w:sz w:val="24"/>
          <w:szCs w:val="24"/>
          <w:lang w:val="ru-RU"/>
        </w:rPr>
        <w:t xml:space="preserve"> от ЗООС:</w:t>
      </w:r>
    </w:p>
    <w:p w14:paraId="5CD835FC" w14:textId="77777777" w:rsidR="003A6953" w:rsidRDefault="003A6953" w:rsidP="003A6953">
      <w:pPr>
        <w:ind w:right="425" w:firstLine="720"/>
        <w:jc w:val="both"/>
        <w:rPr>
          <w:rFonts w:ascii="Times New Roman" w:hAnsi="Times New Roman"/>
          <w:sz w:val="24"/>
          <w:szCs w:val="24"/>
          <w:lang w:val="ru-RU"/>
        </w:rPr>
      </w:pPr>
      <w:r>
        <w:rPr>
          <w:rFonts w:ascii="Times New Roman" w:hAnsi="Times New Roman"/>
          <w:bCs/>
          <w:sz w:val="24"/>
          <w:szCs w:val="24"/>
          <w:lang w:val="ru-RU"/>
        </w:rPr>
        <w:t xml:space="preserve"> Реализацията на </w:t>
      </w:r>
      <w:r>
        <w:rPr>
          <w:rFonts w:ascii="Times New Roman" w:hAnsi="Times New Roman"/>
          <w:sz w:val="24"/>
          <w:szCs w:val="24"/>
          <w:lang w:val="ru-RU"/>
        </w:rPr>
        <w:t xml:space="preserve">инвестиционното предложение </w:t>
      </w:r>
      <w:r>
        <w:rPr>
          <w:rFonts w:ascii="Times New Roman" w:hAnsi="Times New Roman"/>
          <w:bCs/>
          <w:sz w:val="24"/>
          <w:szCs w:val="24"/>
          <w:lang w:val="ru-RU"/>
        </w:rPr>
        <w:t>не е свързана с изработване на нов или изменение на действащ устройствен план (ПУП или ОУП) по реда на Закона за устройство на територията (ЗУТ).</w:t>
      </w:r>
      <w:r>
        <w:rPr>
          <w:rFonts w:ascii="Times New Roman" w:hAnsi="Times New Roman"/>
          <w:sz w:val="24"/>
          <w:szCs w:val="24"/>
          <w:lang w:val="ru-RU"/>
        </w:rPr>
        <w:t xml:space="preserve">   </w:t>
      </w:r>
    </w:p>
    <w:p w14:paraId="6D9BFEAD" w14:textId="77777777" w:rsidR="003A6953" w:rsidRDefault="003A6953" w:rsidP="003A6953">
      <w:pPr>
        <w:ind w:right="425" w:firstLine="709"/>
        <w:jc w:val="both"/>
        <w:rPr>
          <w:rFonts w:ascii="Times New Roman" w:hAnsi="Times New Roman"/>
          <w:b/>
          <w:sz w:val="24"/>
          <w:szCs w:val="24"/>
          <w:lang w:val="bg-BG"/>
        </w:rPr>
      </w:pPr>
    </w:p>
    <w:p w14:paraId="148635E6" w14:textId="77777777" w:rsidR="003A6953" w:rsidRDefault="003A6953" w:rsidP="003A6953">
      <w:pPr>
        <w:ind w:right="425" w:firstLine="709"/>
        <w:jc w:val="both"/>
        <w:rPr>
          <w:rFonts w:ascii="Times New Roman" w:hAnsi="Times New Roman"/>
          <w:b/>
          <w:sz w:val="24"/>
          <w:szCs w:val="24"/>
          <w:lang w:val="ru-RU"/>
        </w:rPr>
      </w:pPr>
      <w:r>
        <w:rPr>
          <w:rFonts w:ascii="Times New Roman" w:hAnsi="Times New Roman"/>
          <w:b/>
          <w:sz w:val="24"/>
          <w:szCs w:val="24"/>
          <w:lang w:val="bg-BG"/>
        </w:rPr>
        <w:t>II</w:t>
      </w:r>
      <w:r>
        <w:rPr>
          <w:rFonts w:ascii="Times New Roman" w:hAnsi="Times New Roman"/>
          <w:b/>
          <w:sz w:val="24"/>
          <w:szCs w:val="24"/>
        </w:rPr>
        <w:t>I</w:t>
      </w:r>
      <w:r>
        <w:rPr>
          <w:rFonts w:ascii="Times New Roman" w:hAnsi="Times New Roman"/>
          <w:b/>
          <w:sz w:val="24"/>
          <w:szCs w:val="24"/>
          <w:lang w:val="bg-BG"/>
        </w:rPr>
        <w:t>. По отношение на изискванията на чл. 31 от Закона за биологичното разнообразие:</w:t>
      </w:r>
    </w:p>
    <w:p w14:paraId="7BCE868D" w14:textId="77777777" w:rsidR="003A6953" w:rsidRDefault="003A6953" w:rsidP="003A6953">
      <w:pPr>
        <w:pStyle w:val="af"/>
        <w:tabs>
          <w:tab w:val="left" w:pos="9781"/>
          <w:tab w:val="left" w:pos="10177"/>
          <w:tab w:val="left" w:pos="10490"/>
        </w:tabs>
        <w:ind w:left="0" w:right="425"/>
        <w:jc w:val="both"/>
        <w:rPr>
          <w:rFonts w:ascii="Times New Roman" w:hAnsi="Times New Roman"/>
          <w:bCs/>
          <w:sz w:val="24"/>
          <w:szCs w:val="24"/>
          <w:lang w:val="bg-BG"/>
        </w:rPr>
      </w:pPr>
      <w:r>
        <w:rPr>
          <w:rFonts w:ascii="Times New Roman" w:hAnsi="Times New Roman"/>
          <w:color w:val="FF0000"/>
          <w:sz w:val="24"/>
          <w:szCs w:val="24"/>
          <w:lang w:val="bg-BG"/>
        </w:rPr>
        <w:t xml:space="preserve">           </w:t>
      </w:r>
      <w:r>
        <w:rPr>
          <w:rFonts w:ascii="Times New Roman" w:hAnsi="Times New Roman"/>
          <w:sz w:val="24"/>
          <w:szCs w:val="24"/>
          <w:lang w:val="bg-BG"/>
        </w:rPr>
        <w:t>Съгласно чл. 2, ал. 1, т.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ОС, ДВ, бр. 73/11.09.2007г.) инвестиционното предложение</w:t>
      </w:r>
      <w:r>
        <w:rPr>
          <w:rFonts w:ascii="Times New Roman" w:hAnsi="Times New Roman"/>
          <w:b/>
          <w:color w:val="FF0000"/>
          <w:sz w:val="24"/>
          <w:szCs w:val="24"/>
          <w:lang w:val="bg-BG"/>
        </w:rPr>
        <w:t xml:space="preserve"> </w:t>
      </w:r>
      <w:r w:rsidR="0048415D" w:rsidRPr="0048415D">
        <w:rPr>
          <w:rFonts w:ascii="Times New Roman" w:hAnsi="Times New Roman"/>
          <w:bCs/>
          <w:sz w:val="24"/>
          <w:szCs w:val="24"/>
          <w:lang w:val="bg-BG"/>
        </w:rPr>
        <w:t>“Монтаж и експлоатация на мобилна инсталация за предварително третиране (сепариране) на площадка, част от Регионално депо за неопасни отпадъци за общините Ловеч, Летница и Угърчин“, ПИ №58308.70.146, местност „Аибунар“, землище на с. Пресяка, община Ловеч</w:t>
      </w:r>
      <w:r>
        <w:rPr>
          <w:rFonts w:ascii="Times New Roman" w:hAnsi="Times New Roman"/>
          <w:iCs/>
          <w:sz w:val="24"/>
          <w:szCs w:val="24"/>
          <w:lang w:val="bg-BG"/>
        </w:rPr>
        <w:t xml:space="preserve">, </w:t>
      </w:r>
      <w:r>
        <w:rPr>
          <w:rFonts w:ascii="Times New Roman" w:hAnsi="Times New Roman"/>
          <w:b/>
          <w:sz w:val="24"/>
          <w:szCs w:val="24"/>
          <w:lang w:val="bg-BG"/>
        </w:rPr>
        <w:t xml:space="preserve">подлежи на оценка за съвместимост по реда на глава трета от Наредбата за ОС, чрез процедурата по </w:t>
      </w:r>
      <w:r>
        <w:rPr>
          <w:rFonts w:ascii="Times New Roman" w:hAnsi="Times New Roman"/>
          <w:b/>
          <w:bCs/>
          <w:sz w:val="24"/>
          <w:szCs w:val="24"/>
          <w:lang w:val="bg-BG"/>
        </w:rPr>
        <w:t>преценяване необходимостта от ОВОС</w:t>
      </w:r>
      <w:r>
        <w:rPr>
          <w:rFonts w:ascii="Times New Roman" w:hAnsi="Times New Roman"/>
          <w:b/>
          <w:sz w:val="24"/>
          <w:szCs w:val="24"/>
          <w:lang w:val="bg-BG"/>
        </w:rPr>
        <w:t xml:space="preserve">. </w:t>
      </w:r>
    </w:p>
    <w:p w14:paraId="3D0CD2CC" w14:textId="77777777" w:rsidR="003A6953" w:rsidRDefault="003A6953" w:rsidP="003A6953">
      <w:pPr>
        <w:pStyle w:val="a6"/>
        <w:tabs>
          <w:tab w:val="left" w:pos="720"/>
          <w:tab w:val="left" w:pos="900"/>
        </w:tabs>
        <w:ind w:right="425"/>
        <w:rPr>
          <w:sz w:val="24"/>
          <w:szCs w:val="24"/>
        </w:rPr>
      </w:pPr>
      <w:r>
        <w:rPr>
          <w:b/>
          <w:color w:val="FF0000"/>
          <w:sz w:val="24"/>
          <w:szCs w:val="24"/>
          <w:lang w:val="ru-RU"/>
        </w:rPr>
        <w:tab/>
      </w:r>
      <w:r>
        <w:rPr>
          <w:sz w:val="24"/>
          <w:szCs w:val="24"/>
        </w:rPr>
        <w:t>Процедурите се съвместяват по реда на чл. 40 от Наредбата за условията и реда за извършване на оценка на съвместимостта на планове, програми, проекти и инвестиционни предложения с предмета и целите на опазване на защитените зони.</w:t>
      </w:r>
    </w:p>
    <w:p w14:paraId="2FFFB473" w14:textId="77777777" w:rsidR="003A6953" w:rsidRDefault="003A6953" w:rsidP="003A6953">
      <w:pPr>
        <w:ind w:right="425"/>
        <w:jc w:val="both"/>
        <w:rPr>
          <w:rFonts w:ascii="Times New Roman" w:hAnsi="Times New Roman"/>
          <w:b/>
          <w:color w:val="000000"/>
          <w:sz w:val="24"/>
          <w:szCs w:val="24"/>
          <w:lang w:val="bg-BG"/>
        </w:rPr>
      </w:pPr>
      <w:r>
        <w:rPr>
          <w:rFonts w:ascii="Times New Roman" w:hAnsi="Times New Roman"/>
          <w:b/>
          <w:color w:val="000000"/>
          <w:sz w:val="24"/>
          <w:szCs w:val="24"/>
          <w:lang w:val="bg-BG"/>
        </w:rPr>
        <w:t xml:space="preserve">          </w:t>
      </w:r>
    </w:p>
    <w:p w14:paraId="7FBA7F88" w14:textId="77777777" w:rsidR="003A6953" w:rsidRDefault="003A6953" w:rsidP="003A6953">
      <w:pPr>
        <w:tabs>
          <w:tab w:val="left" w:pos="709"/>
        </w:tabs>
        <w:ind w:right="425"/>
        <w:jc w:val="both"/>
        <w:rPr>
          <w:rFonts w:ascii="Times New Roman" w:hAnsi="Times New Roman"/>
          <w:b/>
          <w:color w:val="000000"/>
          <w:sz w:val="24"/>
          <w:szCs w:val="24"/>
          <w:lang w:val="bg-BG"/>
        </w:rPr>
      </w:pPr>
      <w:r>
        <w:rPr>
          <w:rFonts w:ascii="Times New Roman" w:hAnsi="Times New Roman"/>
          <w:b/>
          <w:color w:val="000000"/>
          <w:sz w:val="24"/>
          <w:szCs w:val="24"/>
          <w:lang w:val="bg-BG"/>
        </w:rPr>
        <w:t xml:space="preserve">           ІV. По отношение на изискванията на чл.99б и глава 7, раздел І от ЗООС:</w:t>
      </w:r>
    </w:p>
    <w:p w14:paraId="30BB89DB" w14:textId="77777777" w:rsidR="003A6953" w:rsidRDefault="003A6953" w:rsidP="003A6953">
      <w:pPr>
        <w:ind w:right="425"/>
        <w:jc w:val="both"/>
        <w:rPr>
          <w:rFonts w:ascii="Times New Roman" w:hAnsi="Times New Roman"/>
          <w:color w:val="000000"/>
          <w:sz w:val="24"/>
          <w:szCs w:val="24"/>
          <w:lang w:val="bg-BG"/>
        </w:rPr>
      </w:pPr>
      <w:r>
        <w:rPr>
          <w:rFonts w:ascii="Times New Roman" w:hAnsi="Times New Roman"/>
          <w:color w:val="000000"/>
          <w:sz w:val="24"/>
          <w:szCs w:val="24"/>
          <w:lang w:val="bg-BG"/>
        </w:rPr>
        <w:t xml:space="preserve">           Предприятието не се класифицира, като предприятие с нисък или висок рисков потенциал по реда на глава 7, раздел І от ЗООС.</w:t>
      </w:r>
    </w:p>
    <w:p w14:paraId="25A45D5E" w14:textId="77777777" w:rsidR="003A6953" w:rsidRDefault="003A6953" w:rsidP="003A6953">
      <w:pPr>
        <w:ind w:right="425"/>
        <w:jc w:val="both"/>
        <w:rPr>
          <w:rFonts w:ascii="Times New Roman" w:hAnsi="Times New Roman"/>
          <w:b/>
          <w:color w:val="000000"/>
          <w:sz w:val="24"/>
          <w:szCs w:val="24"/>
          <w:lang w:val="bg-BG"/>
        </w:rPr>
      </w:pPr>
    </w:p>
    <w:p w14:paraId="2D9EAB94" w14:textId="77777777" w:rsidR="003A6953" w:rsidRDefault="003A6953" w:rsidP="003A6953">
      <w:pPr>
        <w:ind w:right="425" w:firstLine="709"/>
        <w:jc w:val="both"/>
        <w:rPr>
          <w:rFonts w:ascii="Times New Roman" w:hAnsi="Times New Roman"/>
          <w:b/>
          <w:color w:val="000000"/>
          <w:sz w:val="24"/>
          <w:szCs w:val="24"/>
          <w:lang w:val="bg-BG"/>
        </w:rPr>
      </w:pPr>
      <w:r>
        <w:rPr>
          <w:rFonts w:ascii="Times New Roman" w:hAnsi="Times New Roman"/>
          <w:b/>
          <w:color w:val="000000"/>
          <w:sz w:val="24"/>
          <w:szCs w:val="24"/>
          <w:lang w:val="bg-BG"/>
        </w:rPr>
        <w:t>V. По отношение на изискванията на глава 7, раздел ІІ от ЗООС:</w:t>
      </w:r>
    </w:p>
    <w:p w14:paraId="3B290ABB" w14:textId="77777777" w:rsidR="003A6953" w:rsidRDefault="003A6953" w:rsidP="003A6953">
      <w:pPr>
        <w:ind w:right="425"/>
        <w:jc w:val="both"/>
        <w:rPr>
          <w:rFonts w:ascii="Times New Roman" w:hAnsi="Times New Roman"/>
          <w:color w:val="000000"/>
          <w:sz w:val="24"/>
          <w:szCs w:val="24"/>
          <w:lang w:val="bg-BG"/>
        </w:rPr>
      </w:pPr>
      <w:r>
        <w:rPr>
          <w:rFonts w:ascii="Times New Roman" w:hAnsi="Times New Roman"/>
          <w:color w:val="000000"/>
          <w:sz w:val="24"/>
          <w:szCs w:val="24"/>
          <w:lang w:val="bg-BG"/>
        </w:rPr>
        <w:t xml:space="preserve">           След приключване на процедурата по глава VІ от ЗООС операторът на КР №282-Н1/2016г. </w:t>
      </w:r>
      <w:r>
        <w:rPr>
          <w:rFonts w:ascii="Times New Roman" w:hAnsi="Times New Roman"/>
          <w:bCs/>
          <w:color w:val="000000"/>
          <w:sz w:val="24"/>
          <w:szCs w:val="24"/>
          <w:lang w:val="bg-BG"/>
        </w:rPr>
        <w:t>следва да информира за планираната промяна компетентния орган – ИАОС за становище по чл.123в, т.1 от ЗООС и определяне на приложимата процедура.</w:t>
      </w:r>
    </w:p>
    <w:p w14:paraId="308D8A17" w14:textId="77777777" w:rsidR="003A6953" w:rsidRDefault="003A6953" w:rsidP="003A6953">
      <w:pPr>
        <w:ind w:right="425" w:firstLine="709"/>
        <w:jc w:val="both"/>
        <w:rPr>
          <w:rFonts w:ascii="Times New Roman" w:hAnsi="Times New Roman"/>
          <w:color w:val="000000"/>
          <w:sz w:val="24"/>
          <w:szCs w:val="24"/>
          <w:lang w:val="bg-BG"/>
        </w:rPr>
      </w:pPr>
    </w:p>
    <w:p w14:paraId="40F76C3F" w14:textId="77777777" w:rsidR="003A6953" w:rsidRDefault="003A6953" w:rsidP="003A6953">
      <w:pPr>
        <w:ind w:right="425" w:firstLine="709"/>
        <w:jc w:val="both"/>
        <w:rPr>
          <w:rFonts w:ascii="Times New Roman" w:hAnsi="Times New Roman"/>
          <w:b/>
          <w:sz w:val="24"/>
          <w:szCs w:val="24"/>
          <w:lang w:val="bg-BG"/>
        </w:rPr>
      </w:pPr>
      <w:r>
        <w:rPr>
          <w:rFonts w:ascii="Times New Roman" w:hAnsi="Times New Roman"/>
          <w:b/>
          <w:sz w:val="24"/>
          <w:szCs w:val="24"/>
        </w:rPr>
        <w:t>V</w:t>
      </w:r>
      <w:r>
        <w:rPr>
          <w:rFonts w:ascii="Times New Roman" w:hAnsi="Times New Roman"/>
          <w:b/>
          <w:sz w:val="24"/>
          <w:szCs w:val="24"/>
          <w:lang w:val="bg-BG"/>
        </w:rPr>
        <w:t>І</w:t>
      </w:r>
      <w:r>
        <w:rPr>
          <w:rFonts w:ascii="Times New Roman" w:hAnsi="Times New Roman"/>
          <w:b/>
          <w:sz w:val="24"/>
          <w:szCs w:val="24"/>
          <w:lang w:val="ru-RU"/>
        </w:rPr>
        <w:t xml:space="preserve">. </w:t>
      </w:r>
      <w:r>
        <w:rPr>
          <w:rFonts w:ascii="Times New Roman" w:hAnsi="Times New Roman"/>
          <w:b/>
          <w:sz w:val="24"/>
          <w:szCs w:val="24"/>
          <w:lang w:val="bg-BG"/>
        </w:rPr>
        <w:t xml:space="preserve">За провеждане на процедура по преценка от необходимостта за извършване на ОВОС е необходимо да представите в РИОСВ </w:t>
      </w:r>
      <w:r>
        <w:rPr>
          <w:rFonts w:ascii="Times New Roman" w:hAnsi="Times New Roman"/>
          <w:b/>
          <w:sz w:val="24"/>
          <w:szCs w:val="24"/>
          <w:lang w:val="ru-RU"/>
        </w:rPr>
        <w:t xml:space="preserve">– </w:t>
      </w:r>
      <w:r>
        <w:rPr>
          <w:rFonts w:ascii="Times New Roman" w:hAnsi="Times New Roman"/>
          <w:b/>
          <w:sz w:val="24"/>
          <w:szCs w:val="24"/>
          <w:lang w:val="bg-BG"/>
        </w:rPr>
        <w:t>гр. Плевен:</w:t>
      </w:r>
    </w:p>
    <w:p w14:paraId="6F008932" w14:textId="77777777" w:rsidR="003A6953" w:rsidRDefault="003A6953" w:rsidP="003A6953">
      <w:pPr>
        <w:widowControl w:val="0"/>
        <w:tabs>
          <w:tab w:val="left" w:pos="90"/>
          <w:tab w:val="right" w:pos="8505"/>
        </w:tabs>
        <w:overflowPunct/>
        <w:ind w:right="425"/>
        <w:jc w:val="both"/>
        <w:rPr>
          <w:rFonts w:ascii="Times New Roman" w:hAnsi="Times New Roman"/>
          <w:bCs/>
          <w:iCs/>
          <w:sz w:val="24"/>
          <w:szCs w:val="24"/>
          <w:lang w:val="bg-BG"/>
        </w:rPr>
      </w:pPr>
      <w:r>
        <w:rPr>
          <w:rFonts w:ascii="Times New Roman" w:hAnsi="Times New Roman"/>
          <w:b/>
          <w:sz w:val="24"/>
          <w:szCs w:val="24"/>
          <w:lang w:val="bg-BG"/>
        </w:rPr>
        <w:t xml:space="preserve">         1. Искане</w:t>
      </w:r>
      <w:r>
        <w:rPr>
          <w:rFonts w:ascii="Times New Roman" w:hAnsi="Times New Roman"/>
          <w:sz w:val="24"/>
          <w:szCs w:val="24"/>
          <w:lang w:val="bg-BG"/>
        </w:rPr>
        <w:t xml:space="preserve"> за преценяване необходимостта от ОВОС</w:t>
      </w:r>
      <w:r>
        <w:rPr>
          <w:rFonts w:ascii="Times New Roman" w:hAnsi="Times New Roman"/>
          <w:sz w:val="24"/>
          <w:szCs w:val="24"/>
          <w:lang w:val="ru-RU"/>
        </w:rPr>
        <w:t>.</w:t>
      </w:r>
    </w:p>
    <w:p w14:paraId="029C3AFA" w14:textId="77777777" w:rsidR="003A6953" w:rsidRDefault="003A6953" w:rsidP="003A6953">
      <w:pPr>
        <w:widowControl w:val="0"/>
        <w:tabs>
          <w:tab w:val="left" w:pos="709"/>
          <w:tab w:val="right" w:pos="8505"/>
        </w:tabs>
        <w:overflowPunct/>
        <w:ind w:right="425" w:firstLine="540"/>
        <w:jc w:val="both"/>
        <w:rPr>
          <w:rFonts w:ascii="Times New Roman" w:hAnsi="Times New Roman"/>
          <w:sz w:val="24"/>
          <w:szCs w:val="24"/>
          <w:lang w:val="bg-BG"/>
        </w:rPr>
      </w:pPr>
      <w:r>
        <w:rPr>
          <w:rFonts w:ascii="Times New Roman" w:hAnsi="Times New Roman"/>
          <w:b/>
          <w:sz w:val="24"/>
          <w:szCs w:val="24"/>
          <w:lang w:val="bg-BG"/>
        </w:rPr>
        <w:lastRenderedPageBreak/>
        <w:t xml:space="preserve">2. Подробно попълнена по всяка точка информация съгласно Приложение № 2 към чл. 6 от Наредба за условията и реда за извършване на ОВОС, както и информация съгласно изискванията на чл. 93, ал. 4 от ЗООС, </w:t>
      </w:r>
      <w:r>
        <w:rPr>
          <w:rFonts w:ascii="Times New Roman" w:hAnsi="Times New Roman"/>
          <w:sz w:val="24"/>
          <w:szCs w:val="24"/>
          <w:lang w:val="bg-BG"/>
        </w:rPr>
        <w:t xml:space="preserve">и информация относно обществения интерес, ако такъв е бил проявен. </w:t>
      </w:r>
    </w:p>
    <w:p w14:paraId="3E8F4D61" w14:textId="77777777" w:rsidR="003A6953" w:rsidRDefault="003A6953" w:rsidP="003A6953">
      <w:pPr>
        <w:widowControl w:val="0"/>
        <w:tabs>
          <w:tab w:val="left" w:pos="709"/>
          <w:tab w:val="right" w:pos="8505"/>
        </w:tabs>
        <w:overflowPunct/>
        <w:ind w:right="425"/>
        <w:jc w:val="both"/>
        <w:rPr>
          <w:rFonts w:ascii="Times New Roman" w:hAnsi="Times New Roman"/>
          <w:sz w:val="24"/>
          <w:szCs w:val="24"/>
          <w:lang w:val="bg-BG"/>
        </w:rPr>
      </w:pPr>
      <w:r>
        <w:rPr>
          <w:rFonts w:ascii="Times New Roman" w:hAnsi="Times New Roman"/>
          <w:sz w:val="24"/>
          <w:szCs w:val="24"/>
          <w:lang w:val="bg-BG"/>
        </w:rPr>
        <w:t xml:space="preserve">         Примерни бланки и образци на документите може да намерите на Интернет страницата на РИОСВ – гр. Плевен на адрес: </w:t>
      </w:r>
      <w:hyperlink r:id="rId8" w:history="1">
        <w:r>
          <w:rPr>
            <w:rStyle w:val="a7"/>
            <w:rFonts w:ascii="Times New Roman" w:hAnsi="Times New Roman"/>
            <w:sz w:val="24"/>
            <w:szCs w:val="24"/>
            <w:lang w:val="bg-BG"/>
          </w:rPr>
          <w:t>http://riew-pleven.eu/form.html</w:t>
        </w:r>
      </w:hyperlink>
      <w:r>
        <w:rPr>
          <w:rFonts w:ascii="Times New Roman" w:hAnsi="Times New Roman"/>
          <w:sz w:val="24"/>
          <w:szCs w:val="24"/>
          <w:lang w:val="bg-BG"/>
        </w:rPr>
        <w:t>. Попълнените документи се предоставят на един екземпляр хартиен носител и два броя електронни носители (по възможност ел. носителя да е диск).</w:t>
      </w:r>
    </w:p>
    <w:p w14:paraId="1A9863CD" w14:textId="77777777" w:rsidR="003A6953" w:rsidRDefault="003A6953" w:rsidP="003A6953">
      <w:pPr>
        <w:widowControl w:val="0"/>
        <w:tabs>
          <w:tab w:val="left" w:pos="709"/>
          <w:tab w:val="right" w:pos="8505"/>
        </w:tabs>
        <w:overflowPunct/>
        <w:ind w:right="425"/>
        <w:jc w:val="both"/>
        <w:rPr>
          <w:rFonts w:ascii="Times New Roman" w:hAnsi="Times New Roman"/>
          <w:color w:val="FF0000"/>
          <w:sz w:val="24"/>
          <w:szCs w:val="24"/>
          <w:lang w:val="bg-BG"/>
        </w:rPr>
      </w:pPr>
    </w:p>
    <w:p w14:paraId="6339669E" w14:textId="77777777" w:rsidR="003A6953" w:rsidRDefault="003A6953" w:rsidP="003A6953">
      <w:pPr>
        <w:tabs>
          <w:tab w:val="left" w:pos="720"/>
        </w:tabs>
        <w:ind w:right="425"/>
        <w:jc w:val="both"/>
        <w:rPr>
          <w:rFonts w:ascii="Times New Roman" w:hAnsi="Times New Roman"/>
          <w:sz w:val="24"/>
          <w:szCs w:val="24"/>
          <w:lang w:val="bg-BG"/>
        </w:rPr>
      </w:pPr>
      <w:r>
        <w:rPr>
          <w:rFonts w:ascii="Times New Roman" w:hAnsi="Times New Roman"/>
          <w:color w:val="FF0000"/>
          <w:sz w:val="24"/>
          <w:szCs w:val="24"/>
          <w:lang w:val="bg-BG"/>
        </w:rPr>
        <w:tab/>
      </w:r>
      <w:r>
        <w:rPr>
          <w:rFonts w:ascii="Times New Roman" w:hAnsi="Times New Roman"/>
          <w:b/>
          <w:sz w:val="24"/>
          <w:szCs w:val="24"/>
          <w:lang w:val="bg-BG"/>
        </w:rPr>
        <w:t>Във връзка с</w:t>
      </w:r>
      <w:r>
        <w:rPr>
          <w:rFonts w:ascii="Times New Roman" w:hAnsi="Times New Roman"/>
          <w:sz w:val="24"/>
          <w:szCs w:val="24"/>
          <w:lang w:val="bg-BG"/>
        </w:rPr>
        <w:t xml:space="preserve"> необходимостта от провеждане на консултации по </w:t>
      </w:r>
      <w:r>
        <w:rPr>
          <w:rFonts w:ascii="Times New Roman" w:hAnsi="Times New Roman"/>
          <w:sz w:val="24"/>
          <w:szCs w:val="24"/>
          <w:highlight w:val="white"/>
          <w:shd w:val="clear" w:color="auto" w:fill="FEFEFE"/>
          <w:lang w:val="bg-BG"/>
        </w:rPr>
        <w:t xml:space="preserve">отношение на </w:t>
      </w:r>
      <w:r>
        <w:rPr>
          <w:rFonts w:ascii="Times New Roman" w:hAnsi="Times New Roman"/>
          <w:b/>
          <w:sz w:val="24"/>
          <w:szCs w:val="24"/>
          <w:highlight w:val="white"/>
          <w:shd w:val="clear" w:color="auto" w:fill="FEFEFE"/>
          <w:lang w:val="bg-BG"/>
        </w:rPr>
        <w:t>степента на значимост на въздействието и риска за човешкото здраве</w:t>
      </w:r>
      <w:r>
        <w:rPr>
          <w:rFonts w:ascii="Times New Roman" w:hAnsi="Times New Roman"/>
          <w:sz w:val="24"/>
          <w:szCs w:val="24"/>
          <w:shd w:val="clear" w:color="auto" w:fill="FEFEFE"/>
          <w:lang w:val="bg-BG"/>
        </w:rPr>
        <w:t>, по</w:t>
      </w:r>
      <w:r>
        <w:rPr>
          <w:rFonts w:ascii="Times New Roman" w:hAnsi="Times New Roman"/>
          <w:sz w:val="24"/>
          <w:szCs w:val="24"/>
          <w:lang w:val="bg-BG"/>
        </w:rPr>
        <w:t xml:space="preserve"> чл. 7 от Наредбата за ОВОС, при изготвяне на информация по Приложение № 2 от същата наредба, </w:t>
      </w:r>
      <w:r>
        <w:rPr>
          <w:rFonts w:ascii="Times New Roman" w:hAnsi="Times New Roman"/>
          <w:b/>
          <w:sz w:val="24"/>
          <w:szCs w:val="24"/>
          <w:lang w:val="bg-BG"/>
        </w:rPr>
        <w:t>е необходимо да представите подробна и изчерпателна информация</w:t>
      </w:r>
      <w:r>
        <w:rPr>
          <w:rFonts w:ascii="Times New Roman" w:hAnsi="Times New Roman"/>
          <w:sz w:val="24"/>
          <w:szCs w:val="24"/>
          <w:lang w:val="bg-BG"/>
        </w:rPr>
        <w:t xml:space="preserve"> за следното:</w:t>
      </w:r>
    </w:p>
    <w:p w14:paraId="2C22AF9D" w14:textId="77777777" w:rsidR="003A6953" w:rsidRDefault="003A6953" w:rsidP="003A6953">
      <w:pPr>
        <w:pStyle w:val="af"/>
        <w:numPr>
          <w:ilvl w:val="0"/>
          <w:numId w:val="22"/>
        </w:numPr>
        <w:spacing w:after="0"/>
        <w:ind w:left="709" w:right="425" w:hanging="386"/>
        <w:jc w:val="both"/>
        <w:rPr>
          <w:rFonts w:ascii="Times New Roman" w:hAnsi="Times New Roman"/>
          <w:sz w:val="24"/>
          <w:szCs w:val="24"/>
          <w:lang w:val="ru-RU"/>
        </w:rPr>
      </w:pPr>
      <w:r>
        <w:rPr>
          <w:rFonts w:ascii="Times New Roman" w:hAnsi="Times New Roman"/>
          <w:sz w:val="24"/>
          <w:szCs w:val="24"/>
          <w:lang w:val="ru-RU"/>
        </w:rPr>
        <w:t>представяне на пълна, изчерпателна и добре онагледена информация за местоположението и точните отстояния от територията на инвестиционното предложение /обекта, дейността/ спрямо най-близко разположените обекти, подлежащи на здравна защита по смисъла на § 1, т. 3 от допълнителните разпоредби на НУРИОВОС /</w:t>
      </w:r>
      <w:r>
        <w:rPr>
          <w:rFonts w:ascii="Times New Roman" w:hAnsi="Times New Roman"/>
          <w:sz w:val="24"/>
          <w:szCs w:val="24"/>
          <w:highlight w:val="white"/>
          <w:shd w:val="clear" w:color="auto" w:fill="FEFEFE"/>
          <w:lang w:val="ru-RU"/>
        </w:rPr>
        <w:t>жилищните сгради, лечебните заведения, училищата, детските градини и ясли, висшите учебни заведения, спортните обекти, обектите за временно настаняване /хотели, мотели, общежития, почивни домове, ваканционни селища, къмпинги, хижи и др./, места за отдих и развлечения (плувни басейни, плажове и места за къпане, паркове и градини за отдих, вилни зони, атракционни паркове, аквапаркове и др.), както и обектите за производство на храни по § 1, т. 37 от допълнителните разпоредби на Закона за храните, стоковите борси и тържищата за храни</w:t>
      </w:r>
      <w:r>
        <w:rPr>
          <w:rFonts w:ascii="Times New Roman" w:hAnsi="Times New Roman"/>
          <w:sz w:val="24"/>
          <w:szCs w:val="24"/>
          <w:shd w:val="clear" w:color="auto" w:fill="FEFEFE"/>
          <w:lang w:val="ru-RU"/>
        </w:rPr>
        <w:t>. Изясняване на задължителните отстояния до горецитираните обекти, съгласно действащото законодателство;</w:t>
      </w:r>
    </w:p>
    <w:p w14:paraId="49B7E94F" w14:textId="77777777" w:rsidR="003A6953" w:rsidRDefault="003A6953" w:rsidP="003A6953">
      <w:pPr>
        <w:pStyle w:val="af"/>
        <w:numPr>
          <w:ilvl w:val="0"/>
          <w:numId w:val="22"/>
        </w:numPr>
        <w:spacing w:after="0"/>
        <w:ind w:left="709" w:right="425" w:hanging="386"/>
        <w:jc w:val="both"/>
        <w:rPr>
          <w:rFonts w:ascii="Times New Roman" w:hAnsi="Times New Roman"/>
          <w:sz w:val="24"/>
          <w:szCs w:val="24"/>
          <w:lang w:val="ru-RU"/>
        </w:rPr>
      </w:pPr>
      <w:r>
        <w:rPr>
          <w:rFonts w:ascii="Times New Roman" w:hAnsi="Times New Roman"/>
          <w:sz w:val="24"/>
          <w:szCs w:val="24"/>
          <w:shd w:val="clear" w:color="auto" w:fill="FEFEFE"/>
          <w:lang w:val="ru-RU"/>
        </w:rPr>
        <w:t>онагледяване на информацията с подходящ по мащаб картен, актуален графичен или снимков материал;</w:t>
      </w:r>
    </w:p>
    <w:p w14:paraId="2F7E5C48" w14:textId="77777777" w:rsidR="003A6953" w:rsidRDefault="003A6953" w:rsidP="003A6953">
      <w:pPr>
        <w:pStyle w:val="af"/>
        <w:numPr>
          <w:ilvl w:val="0"/>
          <w:numId w:val="22"/>
        </w:numPr>
        <w:spacing w:after="0"/>
        <w:ind w:left="709" w:right="425" w:hanging="386"/>
        <w:jc w:val="both"/>
        <w:rPr>
          <w:rFonts w:ascii="Times New Roman" w:hAnsi="Times New Roman"/>
          <w:sz w:val="24"/>
          <w:szCs w:val="24"/>
          <w:lang w:val="ru-RU"/>
        </w:rPr>
      </w:pPr>
      <w:r>
        <w:rPr>
          <w:rFonts w:ascii="Times New Roman" w:hAnsi="Times New Roman"/>
          <w:sz w:val="24"/>
          <w:szCs w:val="24"/>
          <w:shd w:val="clear" w:color="auto" w:fill="FEFEFE"/>
          <w:lang w:val="ru-RU"/>
        </w:rPr>
        <w:t>данни за наличие на съществуващи санитарно-охранителни зони на водоизточници и водоснабдителни съоръжения за питейно-битово водоснабдяване.</w:t>
      </w:r>
    </w:p>
    <w:p w14:paraId="1DA7152B" w14:textId="77777777" w:rsidR="003A6953" w:rsidRDefault="003A6953" w:rsidP="003A6953">
      <w:pPr>
        <w:pStyle w:val="af"/>
        <w:numPr>
          <w:ilvl w:val="0"/>
          <w:numId w:val="22"/>
        </w:numPr>
        <w:spacing w:after="0"/>
        <w:ind w:left="709" w:right="425" w:hanging="425"/>
        <w:jc w:val="both"/>
        <w:rPr>
          <w:rFonts w:ascii="Times New Roman" w:hAnsi="Times New Roman"/>
          <w:sz w:val="24"/>
          <w:szCs w:val="24"/>
          <w:lang w:val="ru-RU"/>
        </w:rPr>
      </w:pPr>
      <w:r>
        <w:rPr>
          <w:rFonts w:ascii="Times New Roman" w:hAnsi="Times New Roman"/>
          <w:sz w:val="24"/>
          <w:szCs w:val="24"/>
          <w:lang w:val="ru-RU"/>
        </w:rPr>
        <w:t>посочване на потенциални източници на вредности на оценяваната територия и граничещите с нея.</w:t>
      </w:r>
    </w:p>
    <w:p w14:paraId="2DE3D263" w14:textId="77777777" w:rsidR="0048415D" w:rsidRDefault="003A6953" w:rsidP="0048415D">
      <w:pPr>
        <w:widowControl w:val="0"/>
        <w:tabs>
          <w:tab w:val="left" w:pos="720"/>
          <w:tab w:val="right" w:pos="8505"/>
        </w:tabs>
        <w:overflowPunct/>
        <w:ind w:right="425"/>
        <w:jc w:val="both"/>
        <w:rPr>
          <w:rFonts w:ascii="Times New Roman" w:hAnsi="Times New Roman"/>
          <w:sz w:val="24"/>
          <w:szCs w:val="24"/>
          <w:lang w:val="bg-BG"/>
        </w:rPr>
      </w:pPr>
      <w:r>
        <w:rPr>
          <w:rFonts w:ascii="Times New Roman" w:hAnsi="Times New Roman"/>
          <w:sz w:val="24"/>
          <w:szCs w:val="24"/>
          <w:lang w:val="bg-BG"/>
        </w:rPr>
        <w:t xml:space="preserve"> </w:t>
      </w:r>
    </w:p>
    <w:p w14:paraId="180AE98C" w14:textId="77777777" w:rsidR="0048415D" w:rsidRDefault="003A6953" w:rsidP="0048415D">
      <w:pPr>
        <w:widowControl w:val="0"/>
        <w:tabs>
          <w:tab w:val="left" w:pos="720"/>
          <w:tab w:val="right" w:pos="8505"/>
        </w:tabs>
        <w:overflowPunct/>
        <w:ind w:right="425"/>
        <w:jc w:val="both"/>
        <w:rPr>
          <w:rFonts w:ascii="Times New Roman" w:hAnsi="Times New Roman"/>
          <w:bCs/>
          <w:iCs/>
          <w:sz w:val="24"/>
          <w:szCs w:val="24"/>
          <w:lang w:val="bg-BG"/>
        </w:rPr>
      </w:pPr>
      <w:r>
        <w:rPr>
          <w:b/>
          <w:color w:val="FF0000"/>
          <w:sz w:val="24"/>
          <w:szCs w:val="24"/>
        </w:rPr>
        <w:tab/>
      </w:r>
      <w:r>
        <w:rPr>
          <w:b/>
          <w:sz w:val="24"/>
          <w:szCs w:val="24"/>
        </w:rPr>
        <w:tab/>
      </w:r>
      <w:r w:rsidR="0048415D">
        <w:rPr>
          <w:rFonts w:ascii="Times New Roman" w:hAnsi="Times New Roman"/>
          <w:b/>
          <w:sz w:val="24"/>
          <w:szCs w:val="24"/>
          <w:lang w:val="bg-BG"/>
        </w:rPr>
        <w:t>3. Оригинален документ за платена такса</w:t>
      </w:r>
      <w:r w:rsidR="0048415D">
        <w:rPr>
          <w:rFonts w:ascii="Times New Roman" w:hAnsi="Times New Roman"/>
          <w:sz w:val="24"/>
          <w:szCs w:val="24"/>
          <w:lang w:val="ru-RU"/>
        </w:rPr>
        <w:t xml:space="preserve">: </w:t>
      </w:r>
      <w:r w:rsidR="0048415D">
        <w:rPr>
          <w:rFonts w:ascii="Times New Roman" w:hAnsi="Times New Roman"/>
          <w:b/>
          <w:sz w:val="24"/>
          <w:szCs w:val="24"/>
          <w:lang w:val="bg-BG"/>
        </w:rPr>
        <w:t xml:space="preserve">255,65 €, </w:t>
      </w:r>
      <w:r w:rsidR="0048415D">
        <w:rPr>
          <w:rFonts w:ascii="Times New Roman" w:hAnsi="Times New Roman"/>
          <w:sz w:val="24"/>
          <w:szCs w:val="24"/>
          <w:lang w:val="bg-BG"/>
        </w:rPr>
        <w:t>съгласно чл. 1, ал. 5, т. 1 на Тарифата за таксите, на сметката на РИОСВ – гр. Плевен:</w:t>
      </w:r>
    </w:p>
    <w:p w14:paraId="75AE6192" w14:textId="77777777" w:rsidR="0048415D" w:rsidRDefault="0048415D" w:rsidP="0048415D">
      <w:pPr>
        <w:widowControl w:val="0"/>
        <w:tabs>
          <w:tab w:val="left" w:pos="0"/>
          <w:tab w:val="left" w:pos="90"/>
          <w:tab w:val="left" w:pos="709"/>
          <w:tab w:val="left" w:pos="8505"/>
          <w:tab w:val="left" w:pos="8789"/>
          <w:tab w:val="right" w:pos="9072"/>
        </w:tabs>
        <w:overflowPunct/>
        <w:ind w:right="708"/>
        <w:jc w:val="both"/>
        <w:rPr>
          <w:rFonts w:ascii="Times New Roman" w:hAnsi="Times New Roman"/>
          <w:b/>
          <w:bCs/>
          <w:sz w:val="24"/>
          <w:szCs w:val="24"/>
          <w:lang w:val="bg-BG"/>
        </w:rPr>
      </w:pPr>
    </w:p>
    <w:p w14:paraId="3DE20358" w14:textId="77777777" w:rsidR="0048415D" w:rsidRDefault="0048415D" w:rsidP="0048415D">
      <w:pPr>
        <w:widowControl w:val="0"/>
        <w:tabs>
          <w:tab w:val="left" w:pos="0"/>
          <w:tab w:val="left" w:pos="90"/>
          <w:tab w:val="left" w:pos="709"/>
          <w:tab w:val="left" w:pos="8505"/>
          <w:tab w:val="left" w:pos="8789"/>
          <w:tab w:val="right" w:pos="9072"/>
        </w:tabs>
        <w:overflowPunct/>
        <w:ind w:right="708"/>
        <w:jc w:val="both"/>
        <w:rPr>
          <w:rFonts w:ascii="Times New Roman" w:hAnsi="Times New Roman"/>
          <w:b/>
          <w:bCs/>
          <w:sz w:val="24"/>
          <w:szCs w:val="24"/>
          <w:lang w:val="bg-BG"/>
        </w:rPr>
      </w:pPr>
      <w:r>
        <w:rPr>
          <w:rFonts w:ascii="Times New Roman" w:hAnsi="Times New Roman"/>
          <w:b/>
          <w:bCs/>
          <w:sz w:val="24"/>
          <w:szCs w:val="24"/>
          <w:lang w:val="bg-BG"/>
        </w:rPr>
        <w:t>ОББ АД - гр. Плевен</w:t>
      </w:r>
      <w:r>
        <w:rPr>
          <w:rFonts w:ascii="Times New Roman" w:hAnsi="Times New Roman"/>
          <w:b/>
          <w:bCs/>
          <w:sz w:val="24"/>
          <w:szCs w:val="24"/>
          <w:lang w:val="bg-BG"/>
        </w:rPr>
        <w:br/>
        <w:t>IBAN: BG22UBBS80023106158306</w:t>
      </w:r>
      <w:r>
        <w:rPr>
          <w:rFonts w:ascii="Times New Roman" w:hAnsi="Times New Roman"/>
          <w:b/>
          <w:bCs/>
          <w:sz w:val="24"/>
          <w:szCs w:val="24"/>
          <w:lang w:val="bg-BG"/>
        </w:rPr>
        <w:br/>
        <w:t>BIC: UBBS BGSF</w:t>
      </w:r>
    </w:p>
    <w:p w14:paraId="22A710A0" w14:textId="77777777" w:rsidR="0048415D" w:rsidRDefault="0048415D" w:rsidP="0048415D">
      <w:pPr>
        <w:tabs>
          <w:tab w:val="left" w:pos="709"/>
          <w:tab w:val="left" w:pos="8505"/>
          <w:tab w:val="left" w:pos="8789"/>
          <w:tab w:val="right" w:pos="9072"/>
        </w:tabs>
        <w:ind w:right="708"/>
        <w:jc w:val="both"/>
        <w:rPr>
          <w:rFonts w:ascii="Times New Roman" w:hAnsi="Times New Roman"/>
          <w:color w:val="FF0000"/>
          <w:sz w:val="24"/>
          <w:szCs w:val="24"/>
          <w:lang w:val="bg-BG"/>
        </w:rPr>
      </w:pPr>
      <w:r>
        <w:rPr>
          <w:rFonts w:ascii="Times New Roman" w:hAnsi="Times New Roman"/>
          <w:color w:val="FF0000"/>
          <w:sz w:val="24"/>
          <w:szCs w:val="24"/>
          <w:lang w:val="bg-BG"/>
        </w:rPr>
        <w:t xml:space="preserve">          </w:t>
      </w:r>
    </w:p>
    <w:p w14:paraId="7E3592CD" w14:textId="77777777" w:rsidR="0048415D" w:rsidRDefault="0048415D" w:rsidP="0048415D">
      <w:pPr>
        <w:tabs>
          <w:tab w:val="left" w:pos="709"/>
          <w:tab w:val="left" w:pos="8505"/>
          <w:tab w:val="left" w:pos="8789"/>
          <w:tab w:val="right" w:pos="9072"/>
        </w:tabs>
        <w:ind w:right="708"/>
        <w:jc w:val="both"/>
        <w:rPr>
          <w:rFonts w:ascii="Times New Roman" w:hAnsi="Times New Roman"/>
          <w:b/>
          <w:sz w:val="24"/>
          <w:szCs w:val="24"/>
          <w:lang w:val="bg-BG"/>
        </w:rPr>
      </w:pPr>
      <w:r>
        <w:rPr>
          <w:rFonts w:ascii="Times New Roman" w:hAnsi="Times New Roman"/>
          <w:sz w:val="24"/>
          <w:szCs w:val="24"/>
          <w:lang w:val="bg-BG"/>
        </w:rPr>
        <w:t xml:space="preserve">Съгласно чл. 22, ал. 2 от Тарифата за таксите, които се събират в системата на Министерството на околната среда и водите приета с ПМС № 136/13.05.2011г. (ДВ, бр. 39/2011г.), държавната такса за съвместяване на процедурите е </w:t>
      </w:r>
      <w:r>
        <w:rPr>
          <w:rFonts w:ascii="Times New Roman" w:hAnsi="Times New Roman"/>
          <w:b/>
          <w:sz w:val="24"/>
          <w:szCs w:val="24"/>
          <w:lang w:val="bg-BG"/>
        </w:rPr>
        <w:t xml:space="preserve">255,65 € </w:t>
      </w:r>
    </w:p>
    <w:p w14:paraId="684DCA04" w14:textId="77777777" w:rsidR="0048415D" w:rsidRDefault="0048415D" w:rsidP="0048415D">
      <w:pPr>
        <w:tabs>
          <w:tab w:val="left" w:pos="8505"/>
          <w:tab w:val="left" w:pos="8789"/>
          <w:tab w:val="right" w:pos="9072"/>
        </w:tabs>
        <w:ind w:right="708"/>
        <w:jc w:val="both"/>
        <w:rPr>
          <w:rFonts w:ascii="Times New Roman" w:hAnsi="Times New Roman"/>
          <w:sz w:val="24"/>
          <w:szCs w:val="24"/>
          <w:lang w:val="bg-BG"/>
        </w:rPr>
      </w:pPr>
    </w:p>
    <w:p w14:paraId="0B4BEBED" w14:textId="77777777" w:rsidR="0048415D" w:rsidRDefault="0048415D" w:rsidP="0048415D">
      <w:pPr>
        <w:tabs>
          <w:tab w:val="left" w:pos="8505"/>
          <w:tab w:val="left" w:pos="8789"/>
          <w:tab w:val="right" w:pos="9072"/>
        </w:tabs>
        <w:ind w:right="708"/>
        <w:jc w:val="both"/>
        <w:rPr>
          <w:rFonts w:ascii="Times New Roman" w:hAnsi="Times New Roman"/>
          <w:b/>
          <w:sz w:val="24"/>
          <w:szCs w:val="24"/>
          <w:lang w:val="bg-BG"/>
        </w:rPr>
      </w:pPr>
      <w:r>
        <w:rPr>
          <w:rFonts w:ascii="Times New Roman" w:hAnsi="Times New Roman"/>
          <w:sz w:val="24"/>
          <w:szCs w:val="24"/>
          <w:lang w:val="bg-BG"/>
        </w:rPr>
        <w:t xml:space="preserve">Съгласно чл. 30, ал. 1 от същата </w:t>
      </w:r>
      <w:r>
        <w:rPr>
          <w:rFonts w:ascii="Times New Roman" w:hAnsi="Times New Roman"/>
          <w:b/>
          <w:sz w:val="24"/>
          <w:szCs w:val="24"/>
          <w:lang w:val="bg-BG"/>
        </w:rPr>
        <w:t>тарифа, таксите се събират при предявяване на искането за предоставяне на услугата.</w:t>
      </w:r>
    </w:p>
    <w:p w14:paraId="7AA688DC" w14:textId="77777777" w:rsidR="0048415D" w:rsidRDefault="0048415D" w:rsidP="0048415D">
      <w:pPr>
        <w:widowControl w:val="0"/>
        <w:tabs>
          <w:tab w:val="left" w:pos="709"/>
          <w:tab w:val="left" w:pos="8505"/>
          <w:tab w:val="left" w:pos="8789"/>
          <w:tab w:val="right" w:pos="9072"/>
        </w:tabs>
        <w:overflowPunct/>
        <w:ind w:right="708"/>
        <w:jc w:val="both"/>
        <w:rPr>
          <w:rFonts w:ascii="Times New Roman" w:hAnsi="Times New Roman"/>
          <w:sz w:val="24"/>
          <w:szCs w:val="24"/>
          <w:lang w:val="ru-RU"/>
        </w:rPr>
      </w:pPr>
      <w:r>
        <w:rPr>
          <w:rFonts w:ascii="Times New Roman" w:hAnsi="Times New Roman"/>
          <w:sz w:val="24"/>
          <w:szCs w:val="24"/>
          <w:lang w:val="bg-BG"/>
        </w:rPr>
        <w:t>На документа за платена такса, като основание за плащане да се впише и входящия номер на Уведомлението за ИП под който е заведено в  РИОСВ – гр. Плевен  (вх. № АО-511/29.01.2026г.)</w:t>
      </w:r>
      <w:r>
        <w:rPr>
          <w:rFonts w:ascii="Times New Roman" w:hAnsi="Times New Roman"/>
          <w:sz w:val="24"/>
          <w:szCs w:val="24"/>
          <w:lang w:val="ru-RU"/>
        </w:rPr>
        <w:t>.</w:t>
      </w:r>
    </w:p>
    <w:p w14:paraId="61DD4EBD" w14:textId="77777777" w:rsidR="0048415D" w:rsidRDefault="0048415D" w:rsidP="0048415D">
      <w:pPr>
        <w:widowControl w:val="0"/>
        <w:tabs>
          <w:tab w:val="left" w:pos="709"/>
          <w:tab w:val="left" w:pos="8505"/>
          <w:tab w:val="left" w:pos="8789"/>
          <w:tab w:val="right" w:pos="9072"/>
        </w:tabs>
        <w:overflowPunct/>
        <w:ind w:right="708"/>
        <w:jc w:val="both"/>
        <w:rPr>
          <w:rFonts w:ascii="Times New Roman" w:hAnsi="Times New Roman"/>
          <w:sz w:val="24"/>
          <w:szCs w:val="24"/>
          <w:lang w:val="ru-RU"/>
        </w:rPr>
      </w:pPr>
    </w:p>
    <w:p w14:paraId="02229B61" w14:textId="77777777" w:rsidR="002B515A" w:rsidRPr="003A6953" w:rsidRDefault="0048415D" w:rsidP="0048415D">
      <w:pPr>
        <w:pStyle w:val="a6"/>
        <w:tabs>
          <w:tab w:val="left" w:pos="0"/>
          <w:tab w:val="left" w:pos="284"/>
          <w:tab w:val="left" w:pos="720"/>
        </w:tabs>
        <w:ind w:right="708"/>
        <w:rPr>
          <w:i/>
          <w:iCs/>
          <w:noProof/>
          <w:sz w:val="22"/>
          <w:szCs w:val="22"/>
        </w:rPr>
      </w:pPr>
      <w:r>
        <w:rPr>
          <w:b/>
          <w:bCs/>
          <w:iCs/>
          <w:sz w:val="24"/>
          <w:szCs w:val="24"/>
        </w:rPr>
        <w:lastRenderedPageBreak/>
        <w:t>Обръщаме Ви внимание, че на основание чл.2а, ал.5 от Наредбата за ОВОС, започналата процедура по ОВОС се прекратява, когато повече от 12 месеца от възложителя не са изпълнени указанията, дадени му с настоящото писмо.</w:t>
      </w:r>
    </w:p>
    <w:p w14:paraId="04AF8F3D" w14:textId="77777777" w:rsidR="002B515A" w:rsidRDefault="002B515A" w:rsidP="002B515A">
      <w:pPr>
        <w:rPr>
          <w:rFonts w:ascii="Times New Roman" w:hAnsi="Times New Roman"/>
          <w:i/>
          <w:iCs/>
          <w:noProof/>
          <w:sz w:val="22"/>
          <w:szCs w:val="22"/>
          <w:lang w:val="bg-BG"/>
        </w:rPr>
      </w:pPr>
    </w:p>
    <w:p w14:paraId="5E16D713" w14:textId="77777777" w:rsidR="00BF2F6E"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p>
    <w:p w14:paraId="2D45E26A" w14:textId="77777777" w:rsidR="00BF2F6E" w:rsidRDefault="00BF2F6E" w:rsidP="002B515A">
      <w:pPr>
        <w:rPr>
          <w:rFonts w:ascii="Times New Roman" w:hAnsi="Times New Roman"/>
          <w:i/>
          <w:iCs/>
          <w:noProof/>
          <w:sz w:val="22"/>
          <w:szCs w:val="22"/>
          <w:lang w:val="bg-BG"/>
        </w:rPr>
      </w:pPr>
    </w:p>
    <w:p w14:paraId="6D0BC3FD" w14:textId="77777777" w:rsidR="00BF2F6E" w:rsidRDefault="00BF2F6E" w:rsidP="002B515A">
      <w:pPr>
        <w:rPr>
          <w:rFonts w:ascii="Times New Roman" w:hAnsi="Times New Roman"/>
          <w:i/>
          <w:iCs/>
          <w:noProof/>
          <w:sz w:val="22"/>
          <w:szCs w:val="22"/>
          <w:lang w:val="bg-BG"/>
        </w:rPr>
      </w:pPr>
    </w:p>
    <w:p w14:paraId="776AA5B0" w14:textId="77777777" w:rsidR="00BF2F6E" w:rsidRDefault="00BF2F6E" w:rsidP="002B515A">
      <w:pPr>
        <w:rPr>
          <w:rFonts w:ascii="Times New Roman" w:hAnsi="Times New Roman"/>
          <w:i/>
          <w:iCs/>
          <w:noProof/>
          <w:sz w:val="22"/>
          <w:szCs w:val="22"/>
          <w:lang w:val="bg-BG"/>
        </w:rPr>
      </w:pPr>
    </w:p>
    <w:p w14:paraId="5163369D" w14:textId="77777777" w:rsidR="00BF2F6E" w:rsidRDefault="00BF2F6E" w:rsidP="002B515A">
      <w:pPr>
        <w:rPr>
          <w:rFonts w:ascii="Times New Roman" w:hAnsi="Times New Roman"/>
          <w:i/>
          <w:iCs/>
          <w:noProof/>
          <w:sz w:val="22"/>
          <w:szCs w:val="22"/>
          <w:lang w:val="bg-BG"/>
        </w:rPr>
      </w:pPr>
    </w:p>
    <w:p w14:paraId="6633119B" w14:textId="77777777"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503748B7"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73ED7369" w14:textId="77777777" w:rsidR="00804CC3" w:rsidRDefault="00804CC3" w:rsidP="002B515A">
      <w:pPr>
        <w:rPr>
          <w:rFonts w:ascii="Times New Roman" w:hAnsi="Times New Roman"/>
          <w:b/>
          <w:bCs/>
          <w:color w:val="000000"/>
          <w:sz w:val="24"/>
          <w:szCs w:val="24"/>
          <w:lang w:val="bg-BG"/>
        </w:rPr>
      </w:pPr>
    </w:p>
    <w:p w14:paraId="777188AA" w14:textId="77777777" w:rsidR="00315C9F" w:rsidRDefault="00000000" w:rsidP="002B515A">
      <w:pPr>
        <w:rPr>
          <w:i/>
          <w:noProof/>
        </w:rPr>
      </w:pPr>
      <w:r>
        <w:rPr>
          <w:i/>
          <w:noProof/>
        </w:rPr>
        <w:pict w14:anchorId="525077B2">
          <v:shape id="_x0000_i1026" type="#_x0000_t75" alt="Ред за подпис, неподписано" style="width:192pt;height:96pt">
            <v:imagedata r:id="rId9"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5994D5F8" w14:textId="77777777" w:rsidR="002B515A" w:rsidRDefault="002B515A" w:rsidP="002B515A">
      <w:pPr>
        <w:rPr>
          <w:i/>
          <w:noProof/>
        </w:rPr>
      </w:pPr>
      <w:r w:rsidRPr="00F00468">
        <w:rPr>
          <w:i/>
          <w:noProof/>
          <w:lang w:val="bg-BG"/>
        </w:rPr>
        <w:t xml:space="preserve"> </w:t>
      </w:r>
    </w:p>
    <w:p w14:paraId="3DE180CE" w14:textId="77777777" w:rsidR="002B515A" w:rsidRPr="000303BA" w:rsidRDefault="002B515A" w:rsidP="002B515A">
      <w:pPr>
        <w:rPr>
          <w:i/>
          <w:noProof/>
        </w:rPr>
      </w:pPr>
    </w:p>
    <w:p w14:paraId="0F174664" w14:textId="77777777" w:rsidR="002B515A" w:rsidRDefault="002B515A" w:rsidP="002B515A">
      <w:pPr>
        <w:tabs>
          <w:tab w:val="left" w:pos="0"/>
          <w:tab w:val="left" w:pos="709"/>
          <w:tab w:val="left" w:pos="9923"/>
        </w:tabs>
        <w:ind w:right="-141"/>
        <w:jc w:val="both"/>
        <w:rPr>
          <w:rFonts w:ascii="Times New Roman" w:hAnsi="Times New Roman"/>
          <w:i/>
          <w:iCs/>
          <w:lang w:val="bg-BG"/>
        </w:rPr>
      </w:pPr>
      <w:r>
        <w:rPr>
          <w:rFonts w:ascii="Times New Roman" w:hAnsi="Times New Roman"/>
          <w:i/>
          <w:iCs/>
          <w:lang w:val="bg-BG"/>
        </w:rPr>
        <w:t xml:space="preserve">  </w:t>
      </w:r>
    </w:p>
    <w:sectPr w:rsidR="002B515A" w:rsidSect="00BF2F6E">
      <w:footerReference w:type="default" r:id="rId10"/>
      <w:headerReference w:type="first" r:id="rId11"/>
      <w:footerReference w:type="first" r:id="rId12"/>
      <w:pgSz w:w="11907" w:h="16840" w:code="9"/>
      <w:pgMar w:top="993"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B8FB9" w14:textId="77777777" w:rsidR="00BC7CD8" w:rsidRDefault="00BC7CD8">
      <w:r>
        <w:separator/>
      </w:r>
    </w:p>
  </w:endnote>
  <w:endnote w:type="continuationSeparator" w:id="0">
    <w:p w14:paraId="1A31BD08" w14:textId="77777777" w:rsidR="00BC7CD8" w:rsidRDefault="00BC7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B9827" w14:textId="77777777" w:rsidR="002C160E" w:rsidRPr="008013F1" w:rsidRDefault="00000000" w:rsidP="00BF273A">
    <w:pPr>
      <w:pStyle w:val="a5"/>
      <w:pBdr>
        <w:top w:val="single" w:sz="4" w:space="10" w:color="auto"/>
      </w:pBdr>
      <w:tabs>
        <w:tab w:val="left" w:pos="7230"/>
        <w:tab w:val="left" w:pos="7655"/>
      </w:tabs>
      <w:ind w:right="357"/>
      <w:jc w:val="center"/>
      <w:rPr>
        <w:rStyle w:val="a8"/>
      </w:rPr>
    </w:pPr>
    <w:r>
      <w:rPr>
        <w:rStyle w:val="a8"/>
      </w:rPr>
      <w:pict w14:anchorId="11212DD3">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292400FA" w14:textId="77777777" w:rsidR="001D5BBD" w:rsidRPr="008013F1" w:rsidRDefault="001D5BBD" w:rsidP="00B55A17">
                <w:pPr>
                  <w:pStyle w:val="a5"/>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BF2F6E">
                  <w:rPr>
                    <w:rFonts w:ascii="Times New Roman" w:hAnsi="Times New Roman"/>
                    <w:noProof/>
                    <w:sz w:val="18"/>
                    <w:szCs w:val="18"/>
                  </w:rPr>
                  <w:t>4</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BF2F6E">
                  <w:rPr>
                    <w:rFonts w:ascii="Times New Roman" w:hAnsi="Times New Roman"/>
                    <w:noProof/>
                    <w:sz w:val="18"/>
                    <w:szCs w:val="18"/>
                  </w:rPr>
                  <w:t>4</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EEA5" w14:textId="77777777" w:rsidR="004E440C" w:rsidRDefault="00000000" w:rsidP="004E440C">
    <w:pPr>
      <w:pStyle w:val="a5"/>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3A189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6712CD8C">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5764654D">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1292CD64" w14:textId="77777777" w:rsidR="001D5BBD" w:rsidRDefault="00000000" w:rsidP="00507294">
    <w:pPr>
      <w:pStyle w:val="a5"/>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418F14F6">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443C411" w14:textId="77777777" w:rsidR="001D5BBD" w:rsidRPr="00BB73DC" w:rsidRDefault="00BB73DC" w:rsidP="00E80158">
                <w:pPr>
                  <w:pStyle w:val="a5"/>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BF2F6E">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BF2F6E">
                  <w:rPr>
                    <w:rFonts w:ascii="Times New Roman" w:hAnsi="Times New Roman"/>
                    <w:noProof/>
                    <w:sz w:val="18"/>
                    <w:szCs w:val="18"/>
                  </w:rPr>
                  <w:t>4</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7"/>
          <w:rFonts w:ascii="Times New Roman" w:hAnsi="Times New Roman"/>
          <w:noProof/>
        </w:rPr>
        <w:t>office</w:t>
      </w:r>
      <w:r w:rsidR="00507294" w:rsidRPr="005D1DEC">
        <w:rPr>
          <w:rStyle w:val="a7"/>
          <w:rFonts w:ascii="Times New Roman" w:hAnsi="Times New Roman"/>
          <w:noProof/>
          <w:lang w:val="ru-RU"/>
        </w:rPr>
        <w:t>@</w:t>
      </w:r>
      <w:r w:rsidR="00507294" w:rsidRPr="005D1DEC">
        <w:rPr>
          <w:rStyle w:val="a7"/>
          <w:rFonts w:ascii="Times New Roman" w:hAnsi="Times New Roman"/>
          <w:noProof/>
        </w:rPr>
        <w:t>riew</w:t>
      </w:r>
      <w:r w:rsidR="00507294" w:rsidRPr="005D1DEC">
        <w:rPr>
          <w:rStyle w:val="a7"/>
          <w:rFonts w:ascii="Times New Roman" w:hAnsi="Times New Roman"/>
          <w:noProof/>
          <w:lang w:val="ru-RU"/>
        </w:rPr>
        <w:t>-</w:t>
      </w:r>
      <w:r w:rsidR="00507294" w:rsidRPr="005D1DEC">
        <w:rPr>
          <w:rStyle w:val="a7"/>
          <w:rFonts w:ascii="Times New Roman" w:hAnsi="Times New Roman"/>
          <w:noProof/>
        </w:rPr>
        <w:t>pleven</w:t>
      </w:r>
      <w:r w:rsidR="00507294" w:rsidRPr="005D1DEC">
        <w:rPr>
          <w:rStyle w:val="a7"/>
          <w:rFonts w:ascii="Times New Roman" w:hAnsi="Times New Roman"/>
          <w:noProof/>
          <w:lang w:val="ru-RU"/>
        </w:rPr>
        <w:t>.</w:t>
      </w:r>
      <w:r w:rsidR="00507294" w:rsidRPr="005D1DEC">
        <w:rPr>
          <w:rStyle w:val="a7"/>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7"/>
          <w:rFonts w:ascii="Times New Roman" w:hAnsi="Times New Roman"/>
          <w:noProof/>
          <w:lang w:val="bg-BG"/>
        </w:rPr>
        <w:t>http://riew-pleven.eu/</w:t>
      </w:r>
    </w:hyperlink>
  </w:p>
  <w:p w14:paraId="24DE3791" w14:textId="77777777" w:rsidR="004E440C" w:rsidRPr="004E440C" w:rsidRDefault="004E440C" w:rsidP="004E440C">
    <w:pPr>
      <w:pStyle w:val="a5"/>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0CB61" w14:textId="77777777" w:rsidR="00BC7CD8" w:rsidRDefault="00BC7CD8">
      <w:r>
        <w:separator/>
      </w:r>
    </w:p>
  </w:footnote>
  <w:footnote w:type="continuationSeparator" w:id="0">
    <w:p w14:paraId="5AAD24BB" w14:textId="77777777" w:rsidR="00BC7CD8" w:rsidRDefault="00BC7C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63535" w14:textId="77777777" w:rsidR="001D5BBD" w:rsidRPr="005B69F7" w:rsidRDefault="00000000" w:rsidP="00C7759E">
    <w:pPr>
      <w:pStyle w:val="2"/>
      <w:ind w:firstLine="630"/>
      <w:jc w:val="center"/>
      <w:rPr>
        <w:rStyle w:val="a8"/>
        <w:sz w:val="2"/>
        <w:szCs w:val="2"/>
      </w:rPr>
    </w:pPr>
    <w:r>
      <w:rPr>
        <w:rStyle w:val="a8"/>
      </w:rPr>
      <w:pict w14:anchorId="40E7C3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0013E9EE"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1648D860">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1702015E"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42FB2594"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37DD6944"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441C1671"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ACF244A"/>
    <w:multiLevelType w:val="hybridMultilevel"/>
    <w:tmpl w:val="AA446738"/>
    <w:lvl w:ilvl="0" w:tplc="65CE2956">
      <w:numFmt w:val="bullet"/>
      <w:lvlText w:val="-"/>
      <w:lvlJc w:val="left"/>
      <w:pPr>
        <w:tabs>
          <w:tab w:val="num" w:pos="1004"/>
        </w:tabs>
        <w:ind w:left="1004" w:hanging="360"/>
      </w:pPr>
      <w:rPr>
        <w:rFonts w:ascii="Times New Roman" w:eastAsia="Times New Roman" w:hAnsi="Times New Roman" w:cs="Times New Roman"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5"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EC7631"/>
    <w:multiLevelType w:val="hybridMultilevel"/>
    <w:tmpl w:val="293C6FBE"/>
    <w:lvl w:ilvl="0" w:tplc="3064BFD0">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3F1308B1"/>
    <w:multiLevelType w:val="hybridMultilevel"/>
    <w:tmpl w:val="D8F484B4"/>
    <w:lvl w:ilvl="0" w:tplc="CA54822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5"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6"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2"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320088279">
    <w:abstractNumId w:val="21"/>
  </w:num>
  <w:num w:numId="2" w16cid:durableId="1662124835">
    <w:abstractNumId w:val="12"/>
  </w:num>
  <w:num w:numId="3" w16cid:durableId="911042612">
    <w:abstractNumId w:val="0"/>
  </w:num>
  <w:num w:numId="4" w16cid:durableId="1025012422">
    <w:abstractNumId w:val="9"/>
  </w:num>
  <w:num w:numId="5" w16cid:durableId="455954102">
    <w:abstractNumId w:val="17"/>
  </w:num>
  <w:num w:numId="6" w16cid:durableId="47072944">
    <w:abstractNumId w:val="19"/>
  </w:num>
  <w:num w:numId="7" w16cid:durableId="1075475820">
    <w:abstractNumId w:val="7"/>
  </w:num>
  <w:num w:numId="8" w16cid:durableId="520363281">
    <w:abstractNumId w:val="18"/>
  </w:num>
  <w:num w:numId="9" w16cid:durableId="453212328">
    <w:abstractNumId w:val="2"/>
  </w:num>
  <w:num w:numId="10" w16cid:durableId="311103618">
    <w:abstractNumId w:val="11"/>
  </w:num>
  <w:num w:numId="11" w16cid:durableId="1361466525">
    <w:abstractNumId w:val="16"/>
  </w:num>
  <w:num w:numId="12" w16cid:durableId="1096100212">
    <w:abstractNumId w:val="3"/>
  </w:num>
  <w:num w:numId="13" w16cid:durableId="783496453">
    <w:abstractNumId w:val="23"/>
  </w:num>
  <w:num w:numId="14" w16cid:durableId="1067335397">
    <w:abstractNumId w:val="20"/>
  </w:num>
  <w:num w:numId="15" w16cid:durableId="1277904789">
    <w:abstractNumId w:val="15"/>
  </w:num>
  <w:num w:numId="16" w16cid:durableId="1542474408">
    <w:abstractNumId w:val="13"/>
  </w:num>
  <w:num w:numId="17" w16cid:durableId="1841892972">
    <w:abstractNumId w:val="22"/>
  </w:num>
  <w:num w:numId="18" w16cid:durableId="1825320824">
    <w:abstractNumId w:val="6"/>
  </w:num>
  <w:num w:numId="19" w16cid:durableId="22244032">
    <w:abstractNumId w:val="8"/>
  </w:num>
  <w:num w:numId="20" w16cid:durableId="1360013753">
    <w:abstractNumId w:val="1"/>
  </w:num>
  <w:num w:numId="21" w16cid:durableId="57169477">
    <w:abstractNumId w:val="5"/>
  </w:num>
  <w:num w:numId="22" w16cid:durableId="38255691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95527009">
    <w:abstractNumId w:val="14"/>
  </w:num>
  <w:num w:numId="24" w16cid:durableId="7677704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557E"/>
    <w:rsid w:val="001257C4"/>
    <w:rsid w:val="00130AD7"/>
    <w:rsid w:val="00136B06"/>
    <w:rsid w:val="0014261B"/>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828E3"/>
    <w:rsid w:val="00283CAE"/>
    <w:rsid w:val="00285059"/>
    <w:rsid w:val="002A709F"/>
    <w:rsid w:val="002B0BD1"/>
    <w:rsid w:val="002B515A"/>
    <w:rsid w:val="002B7809"/>
    <w:rsid w:val="002C160E"/>
    <w:rsid w:val="002D15F1"/>
    <w:rsid w:val="002D56FE"/>
    <w:rsid w:val="002E25EF"/>
    <w:rsid w:val="002E2F4D"/>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953"/>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70B22"/>
    <w:rsid w:val="00477F7F"/>
    <w:rsid w:val="004820D4"/>
    <w:rsid w:val="0048415D"/>
    <w:rsid w:val="004873A5"/>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61C46"/>
    <w:rsid w:val="0066703A"/>
    <w:rsid w:val="00675EF6"/>
    <w:rsid w:val="00683C00"/>
    <w:rsid w:val="00684704"/>
    <w:rsid w:val="00686CE3"/>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E090B"/>
    <w:rsid w:val="007E3FAD"/>
    <w:rsid w:val="007E72BF"/>
    <w:rsid w:val="007F0832"/>
    <w:rsid w:val="008013F1"/>
    <w:rsid w:val="00804CC3"/>
    <w:rsid w:val="00810919"/>
    <w:rsid w:val="0081142A"/>
    <w:rsid w:val="00811FDC"/>
    <w:rsid w:val="00816C4B"/>
    <w:rsid w:val="008428BA"/>
    <w:rsid w:val="00842F0C"/>
    <w:rsid w:val="008456FD"/>
    <w:rsid w:val="0085348A"/>
    <w:rsid w:val="008632CA"/>
    <w:rsid w:val="008645B9"/>
    <w:rsid w:val="008719BB"/>
    <w:rsid w:val="00874A5A"/>
    <w:rsid w:val="00875191"/>
    <w:rsid w:val="008968D0"/>
    <w:rsid w:val="008A13F7"/>
    <w:rsid w:val="008B0206"/>
    <w:rsid w:val="008B1300"/>
    <w:rsid w:val="008C0F82"/>
    <w:rsid w:val="008C5C63"/>
    <w:rsid w:val="008D67DB"/>
    <w:rsid w:val="008E3C74"/>
    <w:rsid w:val="008F1D9C"/>
    <w:rsid w:val="008F3033"/>
    <w:rsid w:val="00902B60"/>
    <w:rsid w:val="00906093"/>
    <w:rsid w:val="009142CE"/>
    <w:rsid w:val="009154E3"/>
    <w:rsid w:val="00927C76"/>
    <w:rsid w:val="00936425"/>
    <w:rsid w:val="00943933"/>
    <w:rsid w:val="00946D85"/>
    <w:rsid w:val="0095000E"/>
    <w:rsid w:val="00950B3D"/>
    <w:rsid w:val="009571F2"/>
    <w:rsid w:val="00961612"/>
    <w:rsid w:val="00973C05"/>
    <w:rsid w:val="00974296"/>
    <w:rsid w:val="00974546"/>
    <w:rsid w:val="0097681D"/>
    <w:rsid w:val="0098232D"/>
    <w:rsid w:val="009958B3"/>
    <w:rsid w:val="009A013C"/>
    <w:rsid w:val="009A01B1"/>
    <w:rsid w:val="009A078B"/>
    <w:rsid w:val="009A49E5"/>
    <w:rsid w:val="009C28A8"/>
    <w:rsid w:val="009D2045"/>
    <w:rsid w:val="009D6633"/>
    <w:rsid w:val="009E7D8E"/>
    <w:rsid w:val="009F0994"/>
    <w:rsid w:val="009F6F52"/>
    <w:rsid w:val="00A00CCD"/>
    <w:rsid w:val="00A07FD6"/>
    <w:rsid w:val="00A12710"/>
    <w:rsid w:val="00A165D4"/>
    <w:rsid w:val="00A4221A"/>
    <w:rsid w:val="00A46703"/>
    <w:rsid w:val="00A671F2"/>
    <w:rsid w:val="00A70C9E"/>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075B3"/>
    <w:rsid w:val="00B10311"/>
    <w:rsid w:val="00B23C65"/>
    <w:rsid w:val="00B248C0"/>
    <w:rsid w:val="00B31345"/>
    <w:rsid w:val="00B377D7"/>
    <w:rsid w:val="00B42EB3"/>
    <w:rsid w:val="00B53766"/>
    <w:rsid w:val="00B55A17"/>
    <w:rsid w:val="00B76562"/>
    <w:rsid w:val="00B81CAE"/>
    <w:rsid w:val="00B8211C"/>
    <w:rsid w:val="00B9520D"/>
    <w:rsid w:val="00B97E6D"/>
    <w:rsid w:val="00BB73DC"/>
    <w:rsid w:val="00BC32A3"/>
    <w:rsid w:val="00BC679A"/>
    <w:rsid w:val="00BC74BB"/>
    <w:rsid w:val="00BC78C5"/>
    <w:rsid w:val="00BC7CD8"/>
    <w:rsid w:val="00BE15D5"/>
    <w:rsid w:val="00BE2972"/>
    <w:rsid w:val="00BE5E38"/>
    <w:rsid w:val="00BF273A"/>
    <w:rsid w:val="00BF2F6E"/>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487E"/>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50602"/>
    <w:rsid w:val="00F54099"/>
    <w:rsid w:val="00F6371E"/>
    <w:rsid w:val="00F66962"/>
    <w:rsid w:val="00F72CF1"/>
    <w:rsid w:val="00F74B3E"/>
    <w:rsid w:val="00F752C0"/>
    <w:rsid w:val="00F94863"/>
    <w:rsid w:val="00FA1719"/>
    <w:rsid w:val="00FA195A"/>
    <w:rsid w:val="00FB2B2C"/>
    <w:rsid w:val="00FC43AE"/>
    <w:rsid w:val="00FC4F19"/>
    <w:rsid w:val="00FD2988"/>
    <w:rsid w:val="00FD5793"/>
    <w:rsid w:val="00FD600D"/>
    <w:rsid w:val="00FE22D9"/>
    <w:rsid w:val="00FF1AB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30386C51"/>
  <w15:docId w15:val="{A3E1B1E5-F8ED-4B4A-8CB9-1DFAE443E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320"/>
        <w:tab w:val="right" w:pos="8640"/>
      </w:tabs>
    </w:pPr>
  </w:style>
  <w:style w:type="paragraph" w:styleId="a5">
    <w:name w:val="footer"/>
    <w:basedOn w:val="a"/>
    <w:pPr>
      <w:tabs>
        <w:tab w:val="center" w:pos="4320"/>
        <w:tab w:val="right" w:pos="8640"/>
      </w:tabs>
    </w:pPr>
  </w:style>
  <w:style w:type="paragraph" w:styleId="a6">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4">
    <w:name w:val="Горен колонтитул Знак"/>
    <w:link w:val="a3"/>
    <w:rsid w:val="00FF1AB9"/>
    <w:rPr>
      <w:rFonts w:ascii="Arial" w:hAnsi="Arial"/>
      <w:lang w:val="en-US" w:eastAsia="en-US"/>
    </w:rPr>
  </w:style>
  <w:style w:type="paragraph" w:styleId="af">
    <w:name w:val="Body Text Indent"/>
    <w:basedOn w:val="a"/>
    <w:link w:val="af0"/>
    <w:semiHidden/>
    <w:unhideWhenUsed/>
    <w:rsid w:val="003A6953"/>
    <w:pPr>
      <w:spacing w:after="120"/>
      <w:ind w:left="283"/>
      <w:textAlignment w:val="auto"/>
    </w:pPr>
  </w:style>
  <w:style w:type="character" w:customStyle="1" w:styleId="af0">
    <w:name w:val="Основен текст с отстъп Знак"/>
    <w:link w:val="af"/>
    <w:semiHidden/>
    <w:rsid w:val="003A6953"/>
    <w:rPr>
      <w:rFonts w:ascii="Arial" w:hAnsi="Arial"/>
      <w:lang w:val="en-US" w:eastAsia="en-US"/>
    </w:rPr>
  </w:style>
  <w:style w:type="paragraph" w:customStyle="1" w:styleId="title1">
    <w:name w:val="title1"/>
    <w:basedOn w:val="a"/>
    <w:rsid w:val="003A6953"/>
    <w:pPr>
      <w:overflowPunct/>
      <w:autoSpaceDE/>
      <w:autoSpaceDN/>
      <w:adjustRightInd/>
      <w:spacing w:after="100" w:afterAutospacing="1"/>
      <w:jc w:val="center"/>
      <w:textAlignment w:val="auto"/>
    </w:pPr>
    <w:rPr>
      <w:rFonts w:ascii="Times New Roman" w:hAnsi="Times New Roman"/>
      <w:b/>
      <w:bCs/>
      <w:sz w:val="30"/>
      <w:szCs w:val="30"/>
      <w:lang w:val="bg-BG" w:eastAsia="bg-BG"/>
    </w:rPr>
  </w:style>
  <w:style w:type="character" w:styleId="af1">
    <w:name w:val="Strong"/>
    <w:qFormat/>
    <w:rsid w:val="003A6953"/>
    <w:rPr>
      <w:b/>
      <w:bCs/>
    </w:rPr>
  </w:style>
  <w:style w:type="paragraph" w:styleId="af2">
    <w:name w:val="List Paragraph"/>
    <w:basedOn w:val="a"/>
    <w:uiPriority w:val="34"/>
    <w:qFormat/>
    <w:rsid w:val="00686CE3"/>
    <w:pPr>
      <w:overflowPunct/>
      <w:autoSpaceDE/>
      <w:autoSpaceDN/>
      <w:adjustRightInd/>
      <w:spacing w:after="200" w:line="276" w:lineRule="auto"/>
      <w:ind w:left="720"/>
      <w:contextualSpacing/>
      <w:textAlignment w:val="auto"/>
    </w:pPr>
    <w:rPr>
      <w:rFonts w:ascii="Calibri" w:eastAsia="Calibri" w:hAnsi="Calibri"/>
      <w:sz w:val="22"/>
      <w:szCs w:val="22"/>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47429960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riew-pleven.eu/form.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4</Pages>
  <Words>1247</Words>
  <Characters>7112</Characters>
  <Application>Microsoft Office Word</Application>
  <DocSecurity>0</DocSecurity>
  <Lines>59</Lines>
  <Paragraphs>16</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8343</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18</cp:revision>
  <cp:lastPrinted>2025-03-28T15:09:00Z</cp:lastPrinted>
  <dcterms:created xsi:type="dcterms:W3CDTF">2025-11-24T09:18:00Z</dcterms:created>
  <dcterms:modified xsi:type="dcterms:W3CDTF">2026-03-31T12:55:00Z</dcterms:modified>
</cp:coreProperties>
</file>